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</w:rPr>
        <w:t xml:space="preserve">F. </w:t>
      </w:r>
      <w:r>
        <w:rPr>
          <w:rFonts w:ascii="Times New Roman" w:cs="Arial Unicode MS" w:hAnsi="Arial Unicode MS" w:eastAsia="Arial Unicode MS"/>
          <w:smallCaps w:val="1"/>
          <w:rtl w:val="0"/>
          <w:lang w:val="it-IT"/>
        </w:rPr>
        <w:t>Pesce,</w:t>
      </w:r>
      <w:r>
        <w:rPr>
          <w:rFonts w:ascii="Times New Roman" w:cs="Arial Unicode MS" w:hAnsi="Arial Unicode MS" w:eastAsia="Arial Unicode MS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Come parlare di famiglia quando parliamo di famiglia</w:t>
      </w:r>
      <w:r>
        <w:rPr>
          <w:rFonts w:ascii="Times New Roman" w:cs="Arial Unicode MS" w:hAnsi="Arial Unicode MS" w:eastAsia="Arial Unicode MS"/>
          <w:rtl w:val="0"/>
          <w:lang w:val="en-US"/>
        </w:rPr>
        <w:t xml:space="preserve">, in 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rtl w:val="0"/>
        </w:rPr>
        <w:t>Rivista del Clero Italiano</w:t>
      </w:r>
      <w:r>
        <w:rPr>
          <w:rFonts w:ascii="Arial Unicode MS" w:cs="Arial Unicode MS" w:hAnsi="Times New Roman" w:eastAsia="Arial Unicode MS" w:hint="default"/>
          <w:rtl w:val="0"/>
        </w:rPr>
        <w:t xml:space="preserve">» </w:t>
      </w:r>
      <w:r>
        <w:rPr>
          <w:rFonts w:ascii="Times New Roman" w:cs="Arial Unicode MS" w:hAnsi="Arial Unicode MS" w:eastAsia="Arial Unicode MS"/>
          <w:rtl w:val="0"/>
        </w:rPr>
        <w:t>99 (2/2018), 108-125.</w:t>
      </w:r>
      <w:r>
        <w:rPr>
          <w:rFonts w:ascii="Arial Unicode MS" w:cs="Arial Unicode MS" w:hAnsi="Times New Roman" w:eastAsia="Arial Unicode MS" w:hint="default"/>
          <w:rtl w:val="0"/>
        </w:rPr>
        <w:t> </w:t>
      </w:r>
    </w:p>
    <w:p>
      <w:pPr>
        <w:pStyle w:val="Body"/>
        <w:bidi w:val="0"/>
      </w:pPr>
    </w:p>
    <w:p>
      <w:pPr>
        <w:pStyle w:val="Body"/>
        <w:bidi w:val="0"/>
      </w:pPr>
      <w:hyperlink r:id="rId4" w:history="1">
        <w:r>
          <w:rPr>
            <w:rStyle w:val="Hyperlink.0"/>
            <w:rFonts w:ascii="Times New Roman" w:cs="Arial Unicode MS" w:hAnsi="Arial Unicode MS" w:eastAsia="Arial Unicode MS"/>
            <w:rtl w:val="0"/>
            <w:lang w:val="en-US"/>
          </w:rPr>
          <w:t>http://rivistadelclero.vitaepensiero.it/scheda-articolo_digital/francesco-pesce/come-parlare-di-famiglia-quando-parliamo-di-famiglia-666666_2018_0002_0108-345705.html</w:t>
        </w:r>
      </w:hyperlink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</w:rPr>
        <w:t>Abstract</w:t>
      </w:r>
    </w:p>
    <w:p>
      <w:pPr>
        <w:pStyle w:val="Default"/>
        <w:bidi w:val="0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articolo si ispira al rinnovato approccio alla tematica familiare che Francesco ha promosso in Amoris laetitia e con il ciclo di catechesi tenuto nel periodo fra i due Sinodi che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hanno preceduta e preparata. Don Francesco Pesce, docente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ISSR di Treviso e presidente del Centro della Famiglia della stessa diocesi, condensa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originalit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 magistero pontificio nella duplice scelta di mettere a tema anzitutto i concreti soggetti del contesto familiare privilegiando una prospettiva relazionale e, in secondo luogo, nel considerare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amore come elemento centrale per comprendere e affrontare in modo adeguato le situazioni familiari. Questa attenzione alla concretezza e alla dinamica della relazione porta non tanto a parlare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en-US"/>
        </w:rPr>
        <w:t>Amore, 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en-US"/>
        </w:rPr>
        <w:t>amore in s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  <w:lang w:val="it-IT"/>
        </w:rPr>
        <w:t>, ma di esperienze di amore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  <w:lang w:val="it-IT"/>
        </w:rPr>
        <w:t>, prospettiva che si tiene lontano dall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idealizzazione per concentrarsi sulle concrete storie d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amore vissute in famiglia e sulla possibilit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farle evolvere secondo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evangelo. Francesco infatti,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non sembra essere tanto preoccupato di attivit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o strutture pastorali, come nemmeno del settore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pastorale familiare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o del problema famiglia, quanto interessato alla crescita delle persone e delle loro relazioni</w:t>
      </w:r>
      <w:r>
        <w:rPr>
          <w:rFonts w:hAnsi="Times New Roman" w:hint="default"/>
          <w:sz w:val="24"/>
          <w:szCs w:val="24"/>
          <w:rtl w:val="0"/>
          <w:lang w:val="fr-FR"/>
        </w:rPr>
        <w:t>»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5"/>
      <w:footerReference w:type="default" r:id="rId6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283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it-IT"/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rivistadelclero.vitaepensiero.it/scheda-articolo_digital/francesco-pesce/come-parlare-di-famiglia-quando-parliamo-di-famiglia-666666_2018_0002_0108-345705.html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17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