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Heading"/>
        <w:spacing w:after="120" w:line="360" w:lineRule="auto"/>
        <w:jc w:val="both"/>
        <w:outlineLvl w:val="2"/>
        <w:rPr>
          <w:rFonts w:ascii="Times New Roman" w:cs="Times New Roman" w:hAnsi="Times New Roman" w:eastAsia="Times New Roman"/>
          <w:smallCaps w:val="1"/>
          <w:color w:val="0d0305"/>
          <w:kern w:val="1"/>
          <w:sz w:val="28"/>
          <w:szCs w:val="28"/>
          <w:u w:color="0d0305"/>
          <w:rtl w:val="0"/>
          <w:lang w:val="it-IT"/>
        </w:rPr>
      </w:pPr>
      <w:r>
        <w:rPr>
          <w:rFonts w:ascii="Times New Roman"/>
          <w:smallCaps w:val="1"/>
          <w:kern w:val="1"/>
          <w:sz w:val="28"/>
          <w:szCs w:val="28"/>
          <w:u w:color="000000"/>
          <w:rtl w:val="0"/>
          <w:lang w:val="it-IT"/>
        </w:rPr>
        <w:t xml:space="preserve">1. </w:t>
      </w:r>
      <w:r>
        <w:rPr>
          <w:rFonts w:ascii="Times New Roman"/>
          <w:smallCaps w:val="1"/>
          <w:color w:val="0d0305"/>
          <w:kern w:val="1"/>
          <w:sz w:val="28"/>
          <w:szCs w:val="28"/>
          <w:u w:color="0d0305"/>
          <w:rtl w:val="0"/>
          <w:lang w:val="it-IT"/>
        </w:rPr>
        <w:t>Identit</w:t>
      </w:r>
      <w:r>
        <w:rPr>
          <w:rFonts w:hAnsi="Times New Roman" w:hint="default"/>
          <w:smallCaps w:val="1"/>
          <w:color w:val="0d0305"/>
          <w:kern w:val="1"/>
          <w:sz w:val="28"/>
          <w:szCs w:val="28"/>
          <w:u w:color="0d0305"/>
          <w:rtl w:val="0"/>
          <w:lang w:val="it-IT"/>
        </w:rPr>
        <w:t xml:space="preserve">à </w:t>
      </w:r>
      <w:r>
        <w:rPr>
          <w:rFonts w:ascii="Times New Roman"/>
          <w:smallCaps w:val="1"/>
          <w:color w:val="0d0305"/>
          <w:kern w:val="1"/>
          <w:sz w:val="28"/>
          <w:szCs w:val="28"/>
          <w:u w:color="0d0305"/>
          <w:rtl w:val="0"/>
          <w:lang w:val="it-IT"/>
        </w:rPr>
        <w:t>e differenza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T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n-US"/>
        </w:rPr>
        <w:t>ra 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 complessit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avvertiamo una tensione difficilmente risolvibile. Nasce la domanda: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questa tensione?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questa esperienza di 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 complessit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>?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data una volta per tutte?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Scola risponde affermando che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nit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duale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 Si rif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H.U. von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n-US"/>
        </w:rPr>
        <w:t xml:space="preserve">Balthasar.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Balthasar afferma che esistono tre polarit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antropologiche che costituiscono la complessit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sperimenta. Detto altrimenti: tutti i fattori di complessit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vive si possono ricondurre a tre coppie di elementi. E sono: anima-corpo, uomo-donna, individuo-comunit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 Per avere uno sguardo completo sull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uomo, quindi, vanno considerate insieme tutte e tre queste polarit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che sono legate una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altra. Ognuna anticipa la successiva: anima-corpo, proprio nell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aspetto della corporeit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anticipa la differenza tra maschio e femmina; la coppia uomo-donna apre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alterit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esperienza della comunit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presente nella terza polarit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Polarit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significa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: </w:t>
      </w:r>
    </w:p>
    <w:p>
      <w:pPr>
        <w:pStyle w:val="Body B"/>
        <w:numPr>
          <w:ilvl w:val="0"/>
          <w:numId w:val="3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tensione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tra due poli, che si attraggono e si richiamano a vicenda; </w:t>
      </w:r>
    </w:p>
    <w:p>
      <w:pPr>
        <w:pStyle w:val="Body B"/>
        <w:numPr>
          <w:ilvl w:val="0"/>
          <w:numId w:val="6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irriducibilit</w:t>
      </w:r>
      <w:r>
        <w:rPr>
          <w:rFonts w:hAnsi="Times New Roman" w:hint="default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: non c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niente dietro queste polarit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, non si pu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andare al di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, non si pu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scavare ulteriormente. Non si possono 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semplificare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in un elmetto che racchiuda entrambi.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Nella storia del pensiero, ma anche nell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esperienza che ognuno di noi fa, riscontriamo il tentativo di risolvere la complessit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sperimenta, in vista di ottenere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attraverso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eliminazione di uno dei due elementi delle polarit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(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che fa Adam di fronte alla differenza di Eva?): ad esempio, per quanto riguarda la polarit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anima-corpo, troviamo lo spiritualismo (che esclude la parte del corpo, considerandolo negativo, un peso, una degradazione, decadenza) o il materialismo (l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anima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solo un evoluzione della materia, del corpo).</w:t>
      </w:r>
    </w:p>
    <w:p>
      <w:pPr>
        <w:pStyle w:val="Default"/>
        <w:ind w:firstLine="567"/>
        <w:jc w:val="both"/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rtl w:val="0"/>
        </w:rPr>
      </w:pPr>
    </w:p>
    <w:p>
      <w:pPr>
        <w:pStyle w:val="Heading 2"/>
        <w:spacing w:before="360" w:after="120" w:line="360" w:lineRule="auto"/>
        <w:rPr>
          <w:rFonts w:ascii="Times New Roman" w:cs="Times New Roman" w:hAnsi="Times New Roman" w:eastAsia="Times New Roman"/>
          <w:b w:val="0"/>
          <w:bCs w:val="0"/>
          <w:color w:val="0d0305"/>
          <w:sz w:val="28"/>
          <w:szCs w:val="28"/>
          <w:u w:color="0d0305"/>
          <w:rtl w:val="0"/>
        </w:rPr>
      </w:pP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1.1 L</w:t>
      </w:r>
      <w:r>
        <w:rPr>
          <w:rFonts w:hAnsi="Times New Roman" w:hint="default"/>
          <w:b w:val="0"/>
          <w:bCs w:val="0"/>
          <w:color w:val="0d0305"/>
          <w:sz w:val="28"/>
          <w:szCs w:val="28"/>
          <w:u w:color="0d0305"/>
          <w:rtl w:val="0"/>
          <w:lang w:val="fr-FR"/>
        </w:rPr>
        <w:t>’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esperienza del maschio-femmina: la polarit</w:t>
      </w:r>
      <w:r>
        <w:rPr>
          <w:rFonts w:hAnsi="Times New Roman" w:hint="default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 xml:space="preserve">à 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uomo-donna</w:t>
      </w:r>
    </w:p>
    <w:p>
      <w:pPr>
        <w:pStyle w:val="Body B"/>
        <w:rPr>
          <w:color w:val="0d0305"/>
          <w:u w:color="000000"/>
        </w:rPr>
      </w:pP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non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esistere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solo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(cf.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Gen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2, 18);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esistere soltanto come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dei due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e dunque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in relazione ad un'altra persona umana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(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M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 xml:space="preserve">ulieris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D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ignitatem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7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).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Nessun uomo esaurisce tutto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uomo. Ha sempre davanti a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un altro modo di essere uomo, un modo che gli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inaccessibile: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sempre o maschio o femmina. Al maschio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inaccessibile il modo di essere uomo della donna, e viceversa, alla donna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inaccessibile il modo con cui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maschio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uomo. Ad esempio, esiste un modo diverso di ragionare...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Non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esiste quindi un uomo generico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>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quando dico uomo, quando pongo la domanda sull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uomo, io stesso sono implicato.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 questo punto, diciamo che non esiste un uomo generico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esiste sempre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maschio 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femmina. (cfr. Bibbia, dall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indifferenziazione alla differenza). Non esiste un uomo che racchiuda in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tutto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>umano. Come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 uomo capire fino in fondo cosa vuol dire maternit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? E una donna paternit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?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Nessuno riesce a dire tutto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ha sempre davanti a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altra modalit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 esserlo, che gli sfugge, che non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possedere, che non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dominare (Adamo domina gli animali, ma con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Eva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 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chiamato a un rapporto diverso, non di dominio).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Si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specificare ulteriormente affermando che nessuno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a partire da s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dire chi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uomo,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gli sfugge e gli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inaccessibile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esperienza che vive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altro.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Ricapitoliamo i due elementi:</w:t>
      </w:r>
    </w:p>
    <w:p>
      <w:pPr>
        <w:pStyle w:val="Body B"/>
        <w:numPr>
          <w:ilvl w:val="0"/>
          <w:numId w:val="9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io non posso dire cos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maschio e cos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femmina isolando il maschile e il femminile. Nessuno pu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sapere il significato della propria identit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sessuale (cosa vuol dire essere maschio e femmina) guardando soltanto alla propria mascolinit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e femminilit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, cio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in modo autoreferenziale. Il significato della mascolinit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(o della femminilit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) si capisce solo nella differenza con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altro sesso. </w:t>
      </w:r>
    </w:p>
    <w:p>
      <w:pPr>
        <w:pStyle w:val="Body B"/>
        <w:numPr>
          <w:ilvl w:val="0"/>
          <w:numId w:val="12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essere maschio e femmina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qualcosa di fondamentale dal punto di vista antropologico, fa parte della mia identit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Default"/>
        <w:ind w:firstLine="567"/>
        <w:jc w:val="both"/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rtl w:val="0"/>
        </w:rPr>
      </w:pPr>
    </w:p>
    <w:p>
      <w:pPr>
        <w:pStyle w:val="Heading 2"/>
        <w:spacing w:before="360" w:after="120" w:line="360" w:lineRule="auto"/>
        <w:rPr>
          <w:rFonts w:ascii="Times New Roman" w:cs="Times New Roman" w:hAnsi="Times New Roman" w:eastAsia="Times New Roman"/>
          <w:b w:val="0"/>
          <w:bCs w:val="0"/>
          <w:color w:val="0d0305"/>
          <w:sz w:val="28"/>
          <w:szCs w:val="28"/>
          <w:u w:color="0d0305"/>
          <w:rtl w:val="0"/>
        </w:rPr>
      </w:pP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1.2 Il corpo e la differenza sessuale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punto di partenza da cui si scopre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esistenza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altro modo di essere uomini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il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corpo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: osservando il corpo maschile e femminile, il corpo stesso dice dice 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>,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esso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s-ES_tradnl"/>
        </w:rPr>
        <w:t xml:space="preserve">uguale,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corpo di un uomo, ma allo stesso tempo dice anche differenza,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il corpo di un maschio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fino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ultima cellula maschile, e il corpo di una donna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fino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ultima cellula femminile.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Una conseguenza di questo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fatto che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autocoscienza come introspezione, come pura riflessione su di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sufficiente per conoscere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uomo. Non possiamo rispondere alla domanda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chi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uomo?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da soli, partendo solo da noi stessi, proprio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ci sfugge e ci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inaccessibile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esperienza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altro modo di essere uomo (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bene che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sia solo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).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Il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corpo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quindi viene assunto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interno della coscienza: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uomo, riflettendo su di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fa propria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esperienza del corpo che gli dice che esiste un altro modo di essere uomo. E lo scopre proprio grazie al corpo. La realt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del corpo sessuato, del corpo maschile e del corpo femminile si impone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autocoscienza. 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si impone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significa che la precede, 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autocoscienza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non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saltarla, non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farne a meno. Ovvero: io maschio non posso fare a meno dell'esperienza della donna, del femminile, per capire chi sono, per capire il mio maschile. E viceversa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sz w:val="24"/>
          <w:szCs w:val="24"/>
          <w:u w:color="000000"/>
          <w:vertAlign w:val="superscript"/>
          <w:rtl w:val="0"/>
        </w:rPr>
        <w:footnoteReference w:id="1"/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a) La sessualit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à 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una dimensione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originaria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: non si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risalire a un essere umano che non sia 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de-DE"/>
        </w:rPr>
        <w:t>maschile 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femminile, che stia prima del maschio e femmina.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nasce maschio o femmina (Un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antropologia che non tenga in considerazione questa dimensione originaria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rischia di non essere adeguata e di non riuscire a fondare la relazione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altro).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Filone di Alesandria (+54dC), e altri Padri dopo di lui: teologia della doppia creazione: prima (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G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en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1) viene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en-US"/>
        </w:rPr>
        <w:t>creato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a immagine e somiglianza di Dio: questo darebbe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ideale, celeste, senza distinzione sessuale, autentica immagine di Dio.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pt-P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livello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intelletto, che contempla le realt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intellegibili.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pt-P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incorporeo e incorruttibile. (influenza del Platonismo).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Poi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viene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modellato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(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Gen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2):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sensibile, plasmato maschio e femmina, composto di anima e corpo, con i limiti della materia.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chiaro il d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 xml:space="preserve">ualismo.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 conseguenza, la sessualit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 dato originario, ma rischia di essere considerata come elemento di caduta. Questa idea si svilupper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nei sec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oli successivi distinguendo tra anima (a immagine di Dio) e corpo (formato dalla terra).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b) proprio in quanto maschio o femmina, e quindi sessuato,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sperimenta la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contingenza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essere umano: poich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non esaurisco tutto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uomo, poich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non riesco a rispondere da solo alla domanda sull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uomo, io scopro che dipendo dall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altro per il mio compimento, ho bisogno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altro. Il mio essere creatura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contingente,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assolut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c)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essere maschio 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essere femmina inserisce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nella catena delle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generazioni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: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sc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opre di essere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 xml:space="preserve">da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a.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ha un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origine, da una coppia di uomo e donna, proviene, e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allo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stesso tempo va verso,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: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 figlio nascer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da lui, ed egli andr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verso la morte.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Proprio attraverso la sessualit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scopre di essere in cammino verso la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morte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di essere per la morte. In questo essere da e a, si apre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s-ES_tradnl"/>
        </w:rPr>
        <w:t>uomo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esperienza della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dipendenza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 Prima abbiamo parlato di contingenza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essere umano. Ora tale contingenza si precisa come dipendenza originaria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 questa dipendenza originaria e in questo essere esposto alla morte diventa pi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acuto il dramma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uomo: egli non ha in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la soluzione al proprio enigma, e qualsiasi scelta faccia egli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sempre in cammino verso la morte. Appare con maggior chiarezza la scoperta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alterit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 Io non sono tutto, non ho la risposta dentro di me, da solo non mi spiego, non riesco a risolvere il mio dramma (morte). </w:t>
      </w:r>
    </w:p>
    <w:p>
      <w:pPr>
        <w:pStyle w:val="Default"/>
        <w:ind w:firstLine="544"/>
        <w:jc w:val="both"/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rtl w:val="0"/>
        </w:rPr>
      </w:pPr>
    </w:p>
    <w:p>
      <w:pPr>
        <w:pStyle w:val="Heading 2"/>
        <w:spacing w:before="360" w:after="120" w:line="360" w:lineRule="auto"/>
        <w:rPr>
          <w:rFonts w:ascii="Times New Roman" w:cs="Times New Roman" w:hAnsi="Times New Roman" w:eastAsia="Times New Roman"/>
          <w:b w:val="0"/>
          <w:bCs w:val="0"/>
          <w:color w:val="0d0305"/>
          <w:sz w:val="28"/>
          <w:szCs w:val="28"/>
          <w:u w:color="0d0305"/>
          <w:rtl w:val="0"/>
        </w:rPr>
      </w:pP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1.3 I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dentit</w:t>
      </w:r>
      <w:r>
        <w:rPr>
          <w:rFonts w:hAnsi="Times New Roman" w:hint="default"/>
          <w:b w:val="0"/>
          <w:bCs w:val="0"/>
          <w:color w:val="0d0305"/>
          <w:sz w:val="28"/>
          <w:szCs w:val="28"/>
          <w:u w:color="0d0305"/>
          <w:rtl w:val="0"/>
          <w:lang w:val="fr-FR"/>
        </w:rPr>
        <w:t xml:space="preserve">à 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e differenza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Ripensiamo il dato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esperienza appena incontrato.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Come possiamo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pensare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il fatto che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maschio o femmina?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 proposito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esperienza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di essere sempre maschio o femmina e, di conseguenza, di non esaurire in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tutto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uomo, si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utilizzare il binomio identit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- differenza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per parlare della relazione tra uomo e donna.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’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chiaro cosa Scola intenda per 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 differenza? 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uguaglianza... Differenza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diversit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 Diversit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 a che fare col molteplice, molteplicit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 opzioni, interscam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biabili.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Differenza: in latino significa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porre altrove la stessa cosa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s-ES_tradnl"/>
        </w:rPr>
        <w:t>, cio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per parlare di 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ho bisogno anche di altro, di un altro modo, e questi due modi sono legati. Non posso dire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uno senza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altro. Non posso dire uomo senza donna.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e donna: del tutto identici nell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>umanit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; irriducibilmente differenti nella fisionomia sessuale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Differenza: due modi distinti di essere uomo. Che si richiamano a vicenda. Non c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uno senza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altro. Non posso capire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uno senza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altro. Non solo ogni uomo maschio e ogni uomo femmina ha sempre davanti a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altro modo di essere uomo, ma ha anche bisogno di quest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altro modo, per capire cosa vuol dire essere uomo.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Per questo parliamo di differenza sessuale. Utilizzare questa espressione permette uno sguardo pi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adeguato alla realt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uomo: sessualit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soprattutto nella cultura di oggi, rischia di scadere a opzione personale, a scelta; ha a che fare con pluralit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 Differenza sessuale riesce a dire quanto detto finora, che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sempre maschio o femmina, che tale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 rapporto polare, che non c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uno senza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altro, che nessuno esaurisce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uomo, che c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sempre un dato/realt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che precede la coscienza, che la corporeit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permette di accedere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alterit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Scola parla di unit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duale, unit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che tiene aperto lo spazio della differenza.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 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duale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” 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espressione per descrivere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uomo: le polarit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segnalano che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s-ES_tradnl"/>
        </w:rPr>
        <w:t>cos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ì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ad ogni livello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si presenta come 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duale.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Va notato, per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ò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che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 xml:space="preserve">la differenza sessuale non 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un principio che sta solo all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inizio dell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antropologia come una grande premessa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ma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sempre presente. Ad esempio, il mio essere padre dipende dal mio essere maschio. Non posso capire il mio essere padre senza una relazione con una madre.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Questa prospettiva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molto diversa da quanto proposto dal femminismo e dalla cultura gay: queste hanno come punto di partenza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sessuale come qualcosa che uno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scoprire di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guardando solo a se stesso. </w:t>
      </w:r>
    </w:p>
    <w:p>
      <w:pPr>
        <w:pStyle w:val="Body B"/>
        <w:rPr>
          <w:color w:val="0d0305"/>
          <w:u w:color="000000"/>
        </w:rPr>
      </w:pPr>
    </w:p>
    <w:p>
      <w:pPr>
        <w:pStyle w:val="Text body"/>
        <w:rPr>
          <w:color w:val="0d0305"/>
          <w:u w:color="000000"/>
        </w:rPr>
      </w:pP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La sessualit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resta nel suo fondo impermeabile alla riflessione e inaccessibile al controllo umano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(P. Ricoeur).</w:t>
      </w:r>
    </w:p>
    <w:p>
      <w:pPr>
        <w:pStyle w:val="Body B"/>
        <w:rPr>
          <w:color w:val="0d0305"/>
          <w:u w:color="000000"/>
        </w:rPr>
      </w:pPr>
    </w:p>
    <w:p>
      <w:pPr>
        <w:pStyle w:val="Heading 2"/>
        <w:spacing w:before="360" w:after="120" w:line="360" w:lineRule="auto"/>
        <w:rPr>
          <w:rFonts w:ascii="Times New Roman" w:cs="Times New Roman" w:hAnsi="Times New Roman" w:eastAsia="Times New Roman"/>
          <w:b w:val="0"/>
          <w:bCs w:val="0"/>
          <w:color w:val="0d0305"/>
          <w:sz w:val="28"/>
          <w:szCs w:val="28"/>
          <w:u w:color="0d0305"/>
          <w:rtl w:val="0"/>
        </w:rPr>
      </w:pP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1.4 A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lterit</w:t>
      </w:r>
      <w:r>
        <w:rPr>
          <w:rFonts w:hAnsi="Times New Roman" w:hint="default"/>
          <w:b w:val="0"/>
          <w:bCs w:val="0"/>
          <w:color w:val="0d0305"/>
          <w:sz w:val="28"/>
          <w:szCs w:val="28"/>
          <w:u w:color="0d0305"/>
          <w:rtl w:val="0"/>
          <w:lang w:val="fr-FR"/>
        </w:rPr>
        <w:t>à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/relazionalit</w:t>
      </w:r>
      <w:r>
        <w:rPr>
          <w:rFonts w:hAnsi="Times New Roman" w:hint="default"/>
          <w:b w:val="0"/>
          <w:bCs w:val="0"/>
          <w:color w:val="0d0305"/>
          <w:sz w:val="28"/>
          <w:szCs w:val="28"/>
          <w:u w:color="0d0305"/>
          <w:rtl w:val="0"/>
          <w:lang w:val="fr-FR"/>
        </w:rPr>
        <w:t>à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 questa 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duale, in questa differenza,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io esce da se stesso verso il tu,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chiamato ad uscire da se stesso. La differenza sessuale gli giunge come un appello alla sua libert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La differenza sessuale: una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scuola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(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A. Scola) per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uomo: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si tratta di imparare l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io attraverso l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altro e l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altro attraverso l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 Perci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non esiste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io senza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altro. E questo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 limite.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Ma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strutturalmente riferito al tu.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 apertura che fa parte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 questo non significa incompiutezza 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mancanza (v. mito di Platone):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 limite (in senso negativo) che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sia strutturalmente aperto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altro,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un aspetto che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prima o poi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riesce a superare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riuscendo a fare a meno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altro.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Anche nel massimo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unione tra uomo e donna, nell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una caro, restano sempre due io che si uniscono. La differenza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mai abolita.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Va ribadito che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corpo che apre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io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alterit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 Indica al primo uomo la strada per uscire dalla solitudine originaria. Il corpo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strada attraverso cui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io si educa a essere per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altro.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differenza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sess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uale: rivela che la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relazionalit</w:t>
      </w:r>
      <w:r>
        <w:rPr>
          <w:rFonts w:ascii="Arial Unicode MS" w:cs="Arial Unicode MS" w:hAnsi="Times New Roman" w:eastAsia="Arial Unicode MS" w:hint="default"/>
          <w:b w:val="1"/>
          <w:bCs w:val="1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 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dimensione costitutiva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uomo: non c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prima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singolo, individuale, e poi la relazione.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Se la differenza non viene mai abolita, che tipo di 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si realizza tra uomo e donna?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Possiamo parlare di r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eciprocit</w:t>
      </w:r>
      <w:r>
        <w:rPr>
          <w:rFonts w:ascii="Arial Unicode MS" w:cs="Arial Unicode MS" w:hAnsi="Times New Roman" w:eastAsia="Arial Unicode MS" w:hint="default"/>
          <w:i w:val="1"/>
          <w:iCs w:val="1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asimmetrica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dove</w:t>
      </w:r>
    </w:p>
    <w:p>
      <w:pPr>
        <w:pStyle w:val="Body B"/>
        <w:numPr>
          <w:ilvl w:val="0"/>
          <w:numId w:val="15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Reciprocit</w:t>
      </w:r>
      <w:r>
        <w:rPr>
          <w:rFonts w:hAnsi="Times New Roman" w:hint="default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: uomo e donna si corrispondono (donna di fronte all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uomo-Adamo: irriproducibile eppure profondamente corrispondente!), possono costituire un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numPr>
          <w:ilvl w:val="0"/>
          <w:numId w:val="18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A-simmetrica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la reciprocit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tra uomo e donna ha una pluralit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 forme: sposo, fratello, padre, figlio di donna; sposa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…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Pertanto, r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eciprocit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non significa annullare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;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fusione (v. gli amanti romantici, il cui obiettivo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morte, perfetta fusione tra di loro). Ma rimane la differenza. Rimane uno spazio tra i due. Nel massimo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quindi, rimane la differenza. Contro il mito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androgino.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 Scola si trova un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altra affermazione che va chiarita: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la differenza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condizione di possibilit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per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:</w:t>
      </w:r>
    </w:p>
    <w:p>
      <w:pPr>
        <w:pStyle w:val="Body B"/>
        <w:numPr>
          <w:ilvl w:val="0"/>
          <w:numId w:val="21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corpo: da una parte, esso media/permette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 c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bisogno del corpo per realizzare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 uomo e donna. Dall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altra, il corpo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anche barriera: pi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 cos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ì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non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possibile, non si arriva mai all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annullamento delle due persone, alla perfetta sovrapposizione, fusione;</w:t>
      </w:r>
    </w:p>
    <w:p>
      <w:pPr>
        <w:pStyle w:val="Body B"/>
        <w:numPr>
          <w:ilvl w:val="0"/>
          <w:numId w:val="24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amore: per dire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ti amo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ho bisogno della tua risposta, non posso farmi amante da solo. Eppure non posso costringere la tua libert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 rispondermi, a riamarmi. Il mio amore perci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dipende dalla libert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 un altro, che per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non possiedo mai: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altro sfugge alla mia presa. E questo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il corpo che lo permette: io rimango io, non posso essere posseduto, diventare propriet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 un altro, io posso anche morire, ammalarmi, andare via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…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In entrambi i casi resta la differenza, ma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proprio questa che permette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Lo spazio tra maschio e femmina: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lo spazio per il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figlio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 Il corpo, che apre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io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altro, attraverso la differenza sessuale apre lo spazio per la fecondit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 Proprio la differenza tra maschio e femmina, proprio la reciprocit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asimmetrica,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lo spazio per la fecondit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 (e quindi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 limite in senso negativo...)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Invece, dove c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perfetta fusione, non c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motivo per il figlio. La coppia non vive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apertura. v. coppia di amici...stanno bene tra di loro, equilibrio, tutto sotto controllo...quanto durer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il loro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n-US"/>
        </w:rPr>
        <w:t>amore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?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Il figlio: custodisce la certezza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amore mio e del tuo amore. Egli dice che io ci sono, che tu ci sei (di fronte al mio non possesso di te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…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)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 Inoltre,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verifica del rapporto. Solo nella reciprocit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asimmetrica il figlio non diventa un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appendice della fusione tra uomo e donna.</w:t>
      </w:r>
    </w:p>
    <w:p>
      <w:pPr>
        <w:pStyle w:val="Text body"/>
        <w:tabs>
          <w:tab w:val="left" w:pos="327"/>
          <w:tab w:val="left" w:pos="720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8520"/>
        </w:tabs>
        <w:ind w:left="100" w:firstLine="444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  <w:lang w:val="it-IT"/>
        </w:rPr>
      </w:pP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Differenza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 sintesi:</w:t>
      </w:r>
    </w:p>
    <w:p>
      <w:pPr>
        <w:pStyle w:val="Body B"/>
        <w:numPr>
          <w:ilvl w:val="0"/>
          <w:numId w:val="27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polarit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: due elementi da tenere insieme, in tensione;</w:t>
      </w:r>
    </w:p>
    <w:p>
      <w:pPr>
        <w:pStyle w:val="Body B"/>
        <w:numPr>
          <w:ilvl w:val="0"/>
          <w:numId w:val="30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diversit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: rimanda al molteplice;</w:t>
      </w:r>
    </w:p>
    <w:p>
      <w:pPr>
        <w:pStyle w:val="Body B"/>
        <w:numPr>
          <w:ilvl w:val="0"/>
          <w:numId w:val="33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differenza: due realt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distinte per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insieme;</w:t>
      </w:r>
    </w:p>
    <w:p>
      <w:pPr>
        <w:pStyle w:val="Body B"/>
        <w:numPr>
          <w:ilvl w:val="0"/>
          <w:numId w:val="36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differenza sessuale: la differenza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inscritta in ognuno di noi. </w:t>
      </w:r>
    </w:p>
    <w:p>
      <w:pPr>
        <w:pStyle w:val="Body B"/>
        <w:numPr>
          <w:ilvl w:val="0"/>
          <w:numId w:val="39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L'uomo tenta di annullare, togliere questa tensione: cfr Genesi (Adam riferisce la donna a s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), cfr. 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gender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: confusione, indifferenza,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orientamento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Body B"/>
        <w:numPr>
          <w:ilvl w:val="0"/>
          <w:numId w:val="42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Il mio corpo non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mai un corpo generico ma porta in s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una differenza. Non esiste esperienza del corpo senza esperienza della sessualit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, non esiste individualit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senza relazione. </w:t>
      </w:r>
    </w:p>
    <w:p>
      <w:pPr>
        <w:pStyle w:val="Body B"/>
        <w:numPr>
          <w:ilvl w:val="0"/>
          <w:numId w:val="45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La differenza sessuale mi educa ad imparare che per essere me stesso ho bisogno dell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altro;</w:t>
      </w:r>
    </w:p>
    <w:p>
      <w:pPr>
        <w:pStyle w:val="Body B"/>
        <w:numPr>
          <w:ilvl w:val="0"/>
          <w:numId w:val="48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differenza e identit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: mi dice che per capire cos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la mia identit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devo fare i conti con la differenza. Ovvero: al cuore dell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identit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la differenza. </w:t>
      </w:r>
    </w:p>
    <w:p>
      <w:pPr>
        <w:pStyle w:val="Body B"/>
        <w:numPr>
          <w:ilvl w:val="0"/>
          <w:numId w:val="51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la differenza mi insegna che la realt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(il corpo,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altro, il mondo) mi precede. Non esisto solo io, non sono un soggetto assoluto. </w:t>
      </w:r>
    </w:p>
    <w:p>
      <w:pPr>
        <w:pStyle w:val="Default"/>
        <w:widowControl w:val="0"/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00"/>
          <w:rtl w:val="0"/>
          <w:lang w:val="en-US"/>
        </w:rPr>
      </w:pPr>
    </w:p>
    <w:p>
      <w:pPr>
        <w:pStyle w:val="Heading"/>
        <w:spacing w:after="120" w:line="360" w:lineRule="auto"/>
        <w:jc w:val="both"/>
        <w:outlineLvl w:val="2"/>
      </w:pPr>
      <w:r>
        <w:rPr>
          <w:rFonts w:ascii="Times New Roman" w:cs="Times New Roman" w:hAnsi="Times New Roman" w:eastAsia="Times New Roman"/>
          <w:smallCaps w:val="1"/>
          <w:color w:val="0d0305"/>
          <w:kern w:val="1"/>
          <w:sz w:val="28"/>
          <w:szCs w:val="28"/>
          <w:u w:color="0d0305"/>
          <w:rtl w:val="0"/>
          <w:lang w:val="it-IT"/>
        </w:rPr>
        <w:br w:type="page"/>
      </w:r>
    </w:p>
    <w:p>
      <w:pPr>
        <w:pStyle w:val="Heading"/>
        <w:spacing w:after="120" w:line="360" w:lineRule="auto"/>
        <w:jc w:val="both"/>
        <w:outlineLvl w:val="2"/>
        <w:rPr>
          <w:sz w:val="36"/>
          <w:szCs w:val="36"/>
          <w:rtl w:val="0"/>
        </w:rPr>
      </w:pPr>
    </w:p>
    <w:p>
      <w:pPr>
        <w:pStyle w:val="Heading"/>
        <w:spacing w:after="120" w:line="360" w:lineRule="auto"/>
        <w:jc w:val="both"/>
        <w:outlineLvl w:val="2"/>
        <w:rPr>
          <w:rFonts w:ascii="Times New Roman" w:cs="Times New Roman" w:hAnsi="Times New Roman" w:eastAsia="Times New Roman"/>
          <w:smallCaps w:val="1"/>
          <w:color w:val="0d0305"/>
          <w:kern w:val="1"/>
          <w:sz w:val="28"/>
          <w:szCs w:val="28"/>
          <w:u w:color="0d0305"/>
          <w:rtl w:val="0"/>
          <w:lang w:val="it-IT"/>
        </w:rPr>
      </w:pPr>
    </w:p>
    <w:p>
      <w:pPr>
        <w:pStyle w:val="Heading"/>
        <w:spacing w:after="120" w:line="360" w:lineRule="auto"/>
        <w:jc w:val="both"/>
        <w:outlineLvl w:val="2"/>
        <w:rPr>
          <w:rFonts w:ascii="Times New Roman" w:cs="Times New Roman" w:hAnsi="Times New Roman" w:eastAsia="Times New Roman"/>
          <w:smallCaps w:val="1"/>
          <w:color w:val="0d0305"/>
          <w:kern w:val="1"/>
          <w:sz w:val="28"/>
          <w:szCs w:val="28"/>
          <w:u w:color="0d0305"/>
          <w:rtl w:val="0"/>
          <w:lang w:val="it-IT"/>
        </w:rPr>
      </w:pPr>
      <w:r>
        <w:rPr>
          <w:rFonts w:ascii="Times New Roman"/>
          <w:smallCaps w:val="1"/>
          <w:color w:val="0d0305"/>
          <w:kern w:val="1"/>
          <w:sz w:val="28"/>
          <w:szCs w:val="28"/>
          <w:u w:color="0d0305"/>
          <w:rtl w:val="0"/>
          <w:lang w:val="it-IT"/>
        </w:rPr>
        <w:t>2. Imago Dei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Heading 2"/>
        <w:spacing w:before="360" w:after="120" w:line="360" w:lineRule="auto"/>
        <w:rPr>
          <w:rFonts w:ascii="Times New Roman" w:cs="Times New Roman" w:hAnsi="Times New Roman" w:eastAsia="Times New Roman"/>
          <w:b w:val="0"/>
          <w:bCs w:val="0"/>
          <w:color w:val="0d0305"/>
          <w:sz w:val="28"/>
          <w:szCs w:val="28"/>
          <w:u w:color="0d0305"/>
          <w:rtl w:val="0"/>
        </w:rPr>
      </w:pP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 xml:space="preserve">2.1 </w:t>
      </w:r>
      <w:r>
        <w:rPr>
          <w:rFonts w:hAnsi="Times New Roman" w:hint="default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“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Imago</w:t>
      </w:r>
      <w:r>
        <w:rPr>
          <w:rFonts w:hAnsi="Times New Roman" w:hint="default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”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, categoria fondamentale dell</w:t>
      </w:r>
      <w:r>
        <w:rPr>
          <w:rFonts w:hAnsi="Times New Roman" w:hint="default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’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antropologia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categoria molto usata nella teologia: secondo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M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ulieris dignitatem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6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la nozione di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imago Dei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costituisce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base di tutta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>antropologia cristiana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affermazione centrale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 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creato a immagine e somiglianza di Dio.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ntico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T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estamento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in particolare in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Gen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1, 26-28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immagine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viene utilizzata non per fare una descrizione minuziosa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uomo, ma per evidenziare la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singolarit</w:t>
      </w:r>
      <w:r>
        <w:rPr>
          <w:rFonts w:ascii="Arial Unicode MS" w:cs="Arial Unicode MS" w:hAnsi="Times New Roman" w:eastAsia="Arial Unicode MS" w:hint="default"/>
          <w:b w:val="1"/>
          <w:bCs w:val="1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Tale singolarit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à 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data dalla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relazione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s-ES_tradnl"/>
        </w:rPr>
        <w:t xml:space="preserve"> con Dio.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Imago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(nella Bibbia)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relazione con Dio,  chiave fondamentale per comprendere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come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uno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e per comprenderne i suoi fattori costitutivi.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Heading 2"/>
        <w:spacing w:before="360" w:after="120" w:line="360" w:lineRule="auto"/>
        <w:jc w:val="both"/>
        <w:rPr>
          <w:rFonts w:ascii="Times New Roman" w:cs="Times New Roman" w:hAnsi="Times New Roman" w:eastAsia="Times New Roman"/>
          <w:b w:val="0"/>
          <w:bCs w:val="0"/>
          <w:color w:val="0d0305"/>
          <w:sz w:val="28"/>
          <w:szCs w:val="28"/>
          <w:u w:color="0d0305"/>
          <w:rtl w:val="0"/>
        </w:rPr>
      </w:pP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2.2 A cosa si riferisce l</w:t>
      </w:r>
      <w:r>
        <w:rPr>
          <w:rFonts w:hAnsi="Times New Roman" w:hint="default"/>
          <w:b w:val="0"/>
          <w:bCs w:val="0"/>
          <w:color w:val="0d0305"/>
          <w:sz w:val="28"/>
          <w:szCs w:val="28"/>
          <w:u w:color="0d0305"/>
          <w:rtl w:val="0"/>
          <w:lang w:val="fr-FR"/>
        </w:rPr>
        <w:t>’</w:t>
      </w:r>
      <w:r>
        <w:rPr>
          <w:rFonts w:ascii="Times New Roman"/>
          <w:b w:val="0"/>
          <w:bCs w:val="0"/>
          <w:i w:val="1"/>
          <w:iCs w:val="1"/>
          <w:color w:val="0d0305"/>
          <w:sz w:val="28"/>
          <w:szCs w:val="28"/>
          <w:u w:color="0d0305"/>
          <w:rtl w:val="0"/>
          <w:lang w:val="it-IT"/>
        </w:rPr>
        <w:t>imago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? Cosa nell</w:t>
      </w:r>
      <w:r>
        <w:rPr>
          <w:rFonts w:hAnsi="Times New Roman" w:hint="default"/>
          <w:b w:val="0"/>
          <w:bCs w:val="0"/>
          <w:color w:val="0d0305"/>
          <w:sz w:val="28"/>
          <w:szCs w:val="28"/>
          <w:u w:color="0d0305"/>
          <w:rtl w:val="0"/>
          <w:lang w:val="fr-FR"/>
        </w:rPr>
        <w:t>’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 xml:space="preserve">uomo </w:t>
      </w:r>
      <w:r>
        <w:rPr>
          <w:rFonts w:hAnsi="Times New Roman" w:hint="default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 xml:space="preserve">è 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a immagine di Dio?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Tradizionalmente, il luogo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imago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 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riconosciuto nell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anima.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Ma, si noti, spesso  concependo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anima opposizione al corpo.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tensione anima-corpo sembra insolubile (l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anima non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esistere senza il corpo, un corpo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corpo senza anima, ma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cadavere), eppure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uno.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relazione con Dio: risiede solo nell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anima?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escluso il corpo?</w:t>
      </w:r>
    </w:p>
    <w:p>
      <w:pPr>
        <w:pStyle w:val="Body B"/>
        <w:rPr>
          <w:i w:val="1"/>
          <w:iCs w:val="1"/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Nella Bibbia: i termini riferiti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partono dall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esperienza del corpo:</w:t>
      </w:r>
    </w:p>
    <w:p>
      <w:pPr>
        <w:pStyle w:val="Body B"/>
        <w:numPr>
          <w:ilvl w:val="0"/>
          <w:numId w:val="54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nephesh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: sede delle necessit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vitali dell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uomo, dei sentimenti, delle aspirazioni; </w:t>
      </w:r>
    </w:p>
    <w:p>
      <w:pPr>
        <w:pStyle w:val="Body B"/>
        <w:numPr>
          <w:ilvl w:val="0"/>
          <w:numId w:val="57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basar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: corporeit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dell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 nella sua interezza, fragilit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e limite, sempre riferito all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uomo vivo; </w:t>
      </w:r>
    </w:p>
    <w:p>
      <w:pPr>
        <w:pStyle w:val="Body B"/>
        <w:numPr>
          <w:ilvl w:val="0"/>
          <w:numId w:val="60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ruah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: alito, respiro; </w:t>
      </w:r>
    </w:p>
    <w:p>
      <w:pPr>
        <w:pStyle w:val="Body B"/>
        <w:numPr>
          <w:ilvl w:val="0"/>
          <w:numId w:val="63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leb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: cuore = sentimento, volont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, conoscenza, decisione; S Paolo: 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soma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(uomo nella completezza, individualit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, comune a ogni uomo) e 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sarx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(corruzione, peccato).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 conseguenza, possiamo affermare che nella Bibbia emerge una visione unificante con cui si guarda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uomo, attorno alla relazione con Dio. Non si parla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come anima separata dal corpo. Invece, la relazione con Dio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 tutto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uomo, nella sua interezza. Quindi compreso anche il corpo. Anzi, nella Bibbia non ci si riferisce mai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senza tener conto del corpo (cfr. termini sopraelencati).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ind w:firstLine="567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Text body"/>
        <w:rPr>
          <w:color w:val="0d0305"/>
          <w:u w:color="000000"/>
        </w:rPr>
      </w:pP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Sin dall'inizio essi appaiono come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dei due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, e ci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significa il superamento dell'originaria solitudine, nella quale l'uomo non trova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 aiuto che gli sia simile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(Gen 2, 20). Si tratta qui solo dell'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aiuto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nell'azione, nel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soggiogare la terra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? (cf. 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 xml:space="preserve">Gen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1, 28). Certamente si tratta della compagna della vita, con la quale, come con una moglie, l'uomo pu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unirsi divenendo con lei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una sola carne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e abbandonando per questo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suo padre e sua madre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(cf. 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 xml:space="preserve">Gen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2, 24)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.</w:t>
      </w:r>
      <w:r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vertAlign w:val="superscript"/>
          <w:rtl w:val="0"/>
        </w:rPr>
        <w:footnoteReference w:id="2"/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ind w:firstLine="567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Text body"/>
        <w:rPr>
          <w:color w:val="0d0305"/>
          <w:u w:color="000000"/>
        </w:rPr>
      </w:pP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Il fatto che l'uomo, creato come uomo e donna, sia immagine di Dio non significa solo che ciascuno di loro individualmente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simile a Dio, come essere razionale e libero. Significa anche che l'uomo e la donna, creati come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dei due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nella comune umanit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, sono chiamati a vivere una comunione d'amore e in tal modo a rispecchiare nel mondo la comunione d'amore che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in Dio, per la quale le tre Persone si amano nell'intimo mistero dell'unica vita divina. 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 xml:space="preserve">L'immagine e somiglianza di Dio nell'uomo,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creato come uomo e donna (per l'analogia che si pu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presumere tra il Creatore e la creatura), esprime pertanto anche l'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dei due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nella comune umanit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. Questa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dei due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, che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segno della comunione interpersonale, 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 xml:space="preserve">indica che nella creazione dell'uomo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stata inscritta anche una certa somiglianza della comunione divina (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communio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). Essere persona ad immagine e somiglianza di Dio comporta, quindi, anche un esistere in relazione, in rapporto all'altro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io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.</w:t>
      </w:r>
      <w:r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vertAlign w:val="superscript"/>
          <w:rtl w:val="0"/>
        </w:rPr>
        <w:footnoteReference w:id="3"/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Heading 2"/>
        <w:spacing w:before="360" w:after="120" w:line="360" w:lineRule="auto"/>
        <w:rPr>
          <w:rFonts w:ascii="Times New Roman" w:cs="Times New Roman" w:hAnsi="Times New Roman" w:eastAsia="Times New Roman"/>
          <w:b w:val="0"/>
          <w:bCs w:val="0"/>
          <w:color w:val="0d0305"/>
          <w:sz w:val="28"/>
          <w:szCs w:val="28"/>
          <w:u w:color="0d0305"/>
          <w:rtl w:val="0"/>
        </w:rPr>
      </w:pP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 xml:space="preserve">2.3 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de-DE"/>
        </w:rPr>
        <w:t>Ges</w:t>
      </w:r>
      <w:r>
        <w:rPr>
          <w:rFonts w:hAnsi="Times New Roman" w:hint="default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 xml:space="preserve">ù 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ha svelato la pienezza della nozione di immagine: la figliolanza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S. Paolo: attribuisce a Ges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la nozione di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imago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: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2Cor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4,4: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...Cristo, che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immagine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di Dio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Col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1,15: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Egli [Cristo]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immagine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del Dio invisibile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rPr>
          <w:color w:val="0d0305"/>
          <w:u w:color="000000"/>
        </w:rPr>
      </w:pPr>
      <w:r>
        <w:rPr>
          <w:color w:val="0d0305"/>
          <w:sz w:val="24"/>
          <w:szCs w:val="24"/>
          <w:u w:color="000000"/>
          <w:rtl w:val="0"/>
        </w:rPr>
        <w:tab/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Questa attribuzione paolina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imago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de-DE"/>
        </w:rPr>
        <w:t xml:space="preserve"> a Ges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cosa dice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 xml:space="preserve">imago Dei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che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uomo?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Paolo usa questa categoria per dire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identit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divina/filiale di Ges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ù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vero Adamo: presa totalizzante sulla vita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Invito a guardare la vita di Ges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ù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: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a)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essa ha una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straordinaria consistenza umana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: stupisce (Chi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costui?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questi il figlio di Giuseppe? Chi sei tu per...?!), attira (Zaccheo vuole vedere Ges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ù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; la donna emorroissa si avvicina e lo tocca, la donna Cananea,...), abbraccia tutta la realt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(non esclude nessuno, non rifiuta chi si avvicina, va in cerca), autorit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insegnare, domina la natura e gli spiriti immondi, guarisce, conosce i cuori, perdona;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b)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vissuta nella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totale dipendenza filiale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Io sono nel Padre e il Padre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 me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(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Gv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14,11);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Gv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8, 38-40 (obbedienza al Padre come realizzazione di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).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questo ci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de-DE"/>
        </w:rPr>
        <w:t>che Ges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propone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Ovvero: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de-DE"/>
        </w:rPr>
        <w:t>Ges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 xml:space="preserve">imago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s-ES_tradnl"/>
        </w:rPr>
        <w:t>del Padre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significa, pertanto, che egli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figlio, cio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vive in un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singolare rapporto con il Padre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che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di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figliolanza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(b). Questo rapporto d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forma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>umanit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assunta con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incarnazione (a). Ges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mostra che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essere a immagine va vissuto come figli, la relazione con Dio va vissuta come figli. 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*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immagine di Dio e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immagine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de-DE"/>
        </w:rPr>
        <w:t>Ges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ù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allora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creato a immagine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immagine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:</w:t>
      </w:r>
    </w:p>
    <w:p>
      <w:pPr>
        <w:pStyle w:val="Body B"/>
        <w:rPr>
          <w:color w:val="0d0305"/>
          <w:u w:color="000000"/>
        </w:rPr>
      </w:pP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Noi tutti, riflettendo come in uno specchio la gloria del Signore, veniamo trasformati in quella medesima imma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gine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(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2Cor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3, 18)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Infatti, i Padri della Chiesa (Ireneo, Tertulliano): mettono insieme</w:t>
      </w:r>
    </w:p>
    <w:p>
      <w:pPr>
        <w:pStyle w:val="Body B"/>
        <w:numPr>
          <w:ilvl w:val="1"/>
          <w:numId w:val="66"/>
        </w:numPr>
        <w:tabs>
          <w:tab w:val="num" w:pos="1001"/>
          <w:tab w:val="left" w:pos="1046"/>
          <w:tab w:val="clear" w:pos="457"/>
        </w:tabs>
        <w:bidi w:val="0"/>
        <w:ind w:left="457" w:right="0" w:firstLine="32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Cristo immagine del Padre (S. P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aolo)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numPr>
          <w:ilvl w:val="1"/>
          <w:numId w:val="69"/>
        </w:numPr>
        <w:tabs>
          <w:tab w:val="num" w:pos="1001"/>
          <w:tab w:val="left" w:pos="1046"/>
          <w:tab w:val="clear" w:pos="457"/>
        </w:tabs>
        <w:bidi w:val="0"/>
        <w:ind w:left="457" w:right="0" w:firstLine="32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 immagine di Dio (Genesi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)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Di conseguenza, il Verbo incarnato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modello ad immagine del quale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stato creato.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Dio si dice e si mostra solo nell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>umanit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del Figlio incarnato: solo in Cristo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con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oscere il suo essere creato a immagine e somiglianza di Dio.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de-DE"/>
        </w:rPr>
        <w:t>In Ges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verit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 Dio si d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come uomo!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Quindi: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una creatura voluta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 xml:space="preserve">per essere figlio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di Dio secondo la forma di Cristo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jc w:val="both"/>
        <w:rPr>
          <w:rFonts w:ascii="Times New Roman" w:cs="Times New Roman" w:hAnsi="Times New Roman" w:eastAsia="Times New Roman"/>
          <w:b w:val="1"/>
          <w:bCs w:val="1"/>
          <w:color w:val="0d0305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Heading 2"/>
        <w:spacing w:before="360" w:after="120" w:line="360" w:lineRule="auto"/>
        <w:rPr>
          <w:rFonts w:ascii="Times New Roman" w:cs="Times New Roman" w:hAnsi="Times New Roman" w:eastAsia="Times New Roman"/>
          <w:b w:val="0"/>
          <w:bCs w:val="0"/>
          <w:color w:val="0d0305"/>
          <w:sz w:val="28"/>
          <w:szCs w:val="28"/>
          <w:u w:color="0d0305"/>
          <w:rtl w:val="0"/>
        </w:rPr>
      </w:pP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 xml:space="preserve">2.4 Nesso tra differenza sessuale e </w:t>
      </w:r>
      <w:r>
        <w:rPr>
          <w:rFonts w:ascii="Times New Roman"/>
          <w:b w:val="0"/>
          <w:bCs w:val="0"/>
          <w:i w:val="1"/>
          <w:iCs w:val="1"/>
          <w:color w:val="0d0305"/>
          <w:sz w:val="28"/>
          <w:szCs w:val="28"/>
          <w:u w:color="0d0305"/>
          <w:rtl w:val="0"/>
          <w:lang w:val="it-IT"/>
        </w:rPr>
        <w:t>imago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 xml:space="preserve"> </w:t>
      </w:r>
      <w:r>
        <w:rPr>
          <w:rFonts w:ascii="Times New Roman"/>
          <w:b w:val="0"/>
          <w:bCs w:val="0"/>
          <w:i w:val="1"/>
          <w:iCs w:val="1"/>
          <w:color w:val="0d0305"/>
          <w:sz w:val="28"/>
          <w:szCs w:val="28"/>
          <w:u w:color="0d0305"/>
          <w:rtl w:val="0"/>
          <w:lang w:val="it-IT"/>
        </w:rPr>
        <w:t>Dei</w:t>
      </w:r>
    </w:p>
    <w:p>
      <w:pPr>
        <w:pStyle w:val="Body B"/>
        <w:numPr>
          <w:ilvl w:val="0"/>
          <w:numId w:val="72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i w:val="1"/>
          <w:iCs w:val="1"/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i w:val="0"/>
          <w:iCs w:val="0"/>
          <w:color w:val="0d0305"/>
          <w:sz w:val="24"/>
          <w:szCs w:val="24"/>
          <w:u w:color="000000"/>
          <w:rtl w:val="0"/>
          <w:lang w:val="it-IT"/>
        </w:rPr>
        <w:t>La relazione uomo-donna e la relazione con Dio stanno insieme nell</w:t>
      </w:r>
      <w:r>
        <w:rPr>
          <w:rFonts w:hAnsi="Times New Roman" w:hint="default"/>
          <w:i w:val="0"/>
          <w:iCs w:val="0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imago De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* e quindi (v. Cristo) nel rapporto di figliolanza con Dio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MD 6, affermando che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sin dall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inizio essi appaiono come 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dei due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pone una relazione, un nesso tra sessualit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umana 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imago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Dei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Come va pensato tale nesso?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affermazione di questo nesso appare a prima vista chiaro leggendo i due racconti della creazione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uomo: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creato maschio e femmina.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Per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ne va indagato pi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>in profondit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il senso, dal momento che per la storia della teologia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una cosa ovvia.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imago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Dei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era vista principalmente nell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anima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uomo, nell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aspetto razionale. Se secondo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ntico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T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estamento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imago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Dei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sta a significare la relazione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con Dio, tale relazione trovava il proprio luogo nell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anima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uomo.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aspetto del corpo era messo in secondo piano.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Giovanni Paolo II, partendo dalla nozione classica di uomo creato ad immagine di Dio, in quanto persona, ne amplia il significato. Lo fa analizzando i due racconti della creazione (v. MD 6; v. Catechesi sull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amore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I ciclo).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a)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Gen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1: mette in luce che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 immagine di Dio per il fatto di essere persona, libera e razionale (dominio sulle creature....)</w:t>
      </w:r>
    </w:p>
    <w:p>
      <w:pPr>
        <w:pStyle w:val="Body B"/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b)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Gen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2: Secondo la lettura che ne d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Giovanni Paolo II, il significato di immagine viene ampliato. Mette in luce che la differenza sessuale appartiene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essere a immagine di Dio</w:t>
      </w:r>
      <w:r>
        <w:rPr>
          <w:color w:val="0d0305"/>
          <w:u w:color="000000"/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0"/>
        <w:tab w:val="right" w:pos="9000"/>
        <w:tab w:val="clear" w:pos="9020"/>
      </w:tabs>
    </w:pPr>
    <w:r>
      <w:rPr>
        <w:rtl w:val="0"/>
      </w:rPr>
      <w:tab/>
    </w:r>
    <w:r>
      <w:rPr>
        <w:rtl w:val="0"/>
      </w:rPr>
      <w:fldChar w:fldCharType="begin" w:fldLock="0"/>
    </w:r>
    <w:r>
      <w:rPr>
        <w:rtl w:val="0"/>
      </w:rPr>
      <w:t xml:space="preserve"> PAGE </w:t>
    </w:r>
    <w:r>
      <w:rPr>
        <w:rtl w:val="0"/>
      </w:rPr>
      <w:fldChar w:fldCharType="separate" w:fldLock="0"/>
    </w:r>
    <w:r>
      <w:rPr>
        <w:rtl w:val="0"/>
      </w:rPr>
      <w:t>12</w:t>
    </w:r>
    <w:r>
      <w:rPr>
        <w:rtl w:val="0"/>
      </w:rPr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Default"/>
        <w:widowControl w:val="0"/>
        <w:suppressAutoHyphens w:val="1"/>
        <w:jc w:val="both"/>
      </w:pPr>
      <w:r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vertAlign w:val="superscript"/>
          <w:rtl w:val="0"/>
        </w:rPr>
        <w:footnoteRef/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 In questo discorso sulla partenza dal corpo, 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in gioco la polarit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anima-corpo. L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’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uomo 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unit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non pacificata di corpo (l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’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uomo 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inserito nel cosmo, segue le leggi di natura) e di anima (l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’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uomo trascende il cosmo, partecipa a una dimensione spirituale che appartiene a tutti gli uomini). L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’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uomo 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anima e corpo in modo inseparabile. Di conseguenza l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’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uomo pu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accedere alla coscienza solo attraverso un dato che lo precede (il corpo, la realt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). Il corpo 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il primo livello per scoprire l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’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alterit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e accedervi (appartenenza al genere umano; esiste una realt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che precede la coscienza...esiste un principio). Gi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al livello della polarit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anima-corpo emerge l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’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apertura </w:t>
      </w:r>
      <w:r>
        <w:rPr>
          <w:rFonts w:ascii="Times New Roman"/>
          <w:i w:val="1"/>
          <w:iCs w:val="1"/>
          <w:kern w:val="1"/>
          <w:sz w:val="20"/>
          <w:szCs w:val="20"/>
          <w:u w:color="000000"/>
          <w:rtl w:val="0"/>
          <w:lang w:val="it-IT"/>
        </w:rPr>
        <w:t>all</w:t>
      </w:r>
      <w:r>
        <w:rPr>
          <w:rFonts w:hAnsi="Times New Roman" w:hint="default"/>
          <w:i w:val="1"/>
          <w:iCs w:val="1"/>
          <w:kern w:val="1"/>
          <w:sz w:val="20"/>
          <w:szCs w:val="20"/>
          <w:u w:color="000000"/>
          <w:rtl w:val="0"/>
          <w:lang w:val="it-IT"/>
        </w:rPr>
        <w:t>’</w:t>
      </w:r>
      <w:r>
        <w:rPr>
          <w:rFonts w:ascii="Times New Roman"/>
          <w:i w:val="1"/>
          <w:iCs w:val="1"/>
          <w:kern w:val="1"/>
          <w:sz w:val="20"/>
          <w:szCs w:val="20"/>
          <w:u w:color="000000"/>
          <w:rtl w:val="0"/>
          <w:lang w:val="it-IT"/>
        </w:rPr>
        <w:t>alterit</w:t>
      </w:r>
      <w:r>
        <w:rPr>
          <w:rFonts w:hAnsi="Times New Roman" w:hint="default"/>
          <w:i w:val="1"/>
          <w:iCs w:val="1"/>
          <w:kern w:val="1"/>
          <w:sz w:val="20"/>
          <w:szCs w:val="20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all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’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essere, al principio.] unit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duale: l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’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uomo 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aperto all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’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alterit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.</w:t>
      </w:r>
    </w:p>
  </w:footnote>
  <w:footnote w:id="2">
    <w:p>
      <w:pPr>
        <w:pStyle w:val="Footnote"/>
        <w:jc w:val="both"/>
      </w:pPr>
      <w:r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vertAlign w:val="superscript"/>
          <w:rtl w:val="0"/>
        </w:rPr>
        <w:footnoteRef/>
      </w:r>
      <w:r>
        <w:rPr>
          <w:rFonts w:ascii="Times New Roman"/>
          <w:sz w:val="20"/>
          <w:szCs w:val="20"/>
          <w:u w:color="000000"/>
          <w:rtl w:val="0"/>
        </w:rPr>
        <w:t xml:space="preserve"> </w:t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>Mulieris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>dignitatem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 xml:space="preserve">, 6. </w:t>
      </w:r>
    </w:p>
  </w:footnote>
  <w:footnote w:id="3">
    <w:p>
      <w:pPr>
        <w:pStyle w:val="Footnote"/>
        <w:jc w:val="both"/>
      </w:pPr>
      <w:r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vertAlign w:val="superscript"/>
          <w:rtl w:val="0"/>
        </w:rPr>
        <w:footnoteRef/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 xml:space="preserve"> Mulieris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>dignitatem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 xml:space="preserve">, 7. </w:t>
      </w:r>
      <w:r>
        <w:rPr>
          <w:rFonts w:hAnsi="Times New Roman" w:hint="default"/>
          <w:sz w:val="20"/>
          <w:szCs w:val="20"/>
          <w:u w:color="000000"/>
          <w:rtl w:val="0"/>
          <w:lang w:val="fr-FR"/>
        </w:rPr>
        <w:t>«</w:t>
      </w:r>
      <w:r>
        <w:rPr>
          <w:rFonts w:ascii="Times New Roman"/>
          <w:sz w:val="20"/>
          <w:szCs w:val="20"/>
          <w:u w:color="000000"/>
          <w:rtl w:val="0"/>
        </w:rPr>
        <w:t>Tra l</w:t>
      </w:r>
      <w:r>
        <w:rPr>
          <w:rFonts w:hAnsi="Times New Roman" w:hint="default"/>
          <w:sz w:val="20"/>
          <w:szCs w:val="20"/>
          <w:u w:color="000000"/>
          <w:rtl w:val="0"/>
          <w:lang w:val="fr-FR"/>
        </w:rPr>
        <w:t>’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uomo e la donna c</w:t>
      </w:r>
      <w:r>
        <w:rPr>
          <w:rFonts w:hAnsi="Times New Roman" w:hint="default"/>
          <w:sz w:val="20"/>
          <w:szCs w:val="20"/>
          <w:u w:color="000000"/>
          <w:rtl w:val="0"/>
          <w:lang w:val="it-IT"/>
        </w:rPr>
        <w:t xml:space="preserve">’è 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 xml:space="preserve">una comunione originaria che </w:t>
      </w:r>
      <w:r>
        <w:rPr>
          <w:rFonts w:hAnsi="Times New Roman" w:hint="default"/>
          <w:sz w:val="20"/>
          <w:szCs w:val="20"/>
          <w:u w:color="000000"/>
          <w:rtl w:val="0"/>
          <w:lang w:val="it-IT"/>
        </w:rPr>
        <w:t xml:space="preserve">è 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immagine di Dio</w:t>
      </w:r>
      <w:r>
        <w:rPr>
          <w:rFonts w:hAnsi="Times New Roman" w:hint="default"/>
          <w:sz w:val="20"/>
          <w:szCs w:val="20"/>
          <w:u w:color="000000"/>
          <w:rtl w:val="0"/>
          <w:lang w:val="fr-FR"/>
        </w:rPr>
        <w:t>»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 xml:space="preserve"> (</w:t>
      </w:r>
      <w:r>
        <w:rPr>
          <w:rFonts w:ascii="Times New Roman"/>
          <w:smallCaps w:val="1"/>
          <w:sz w:val="20"/>
          <w:szCs w:val="20"/>
          <w:u w:color="000000"/>
          <w:rtl w:val="0"/>
          <w:lang w:val="it-IT"/>
        </w:rPr>
        <w:t>J. Noriega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, 58).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</w:abstractNum>
  <w:abstractNum w:abstractNumId="1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it-IT"/>
      </w:rPr>
    </w:lvl>
  </w:abstractNum>
  <w:abstractNum w:abstractNumId="3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  <w:lvl w:ilvl="1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  <w:lvl w:ilvl="2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  <w:lvl w:ilvl="3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  <w:lvl w:ilvl="4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  <w:lvl w:ilvl="5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  <w:lvl w:ilvl="6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  <w:lvl w:ilvl="7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  <w:lvl w:ilvl="8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</w:abstractNum>
  <w:abstractNum w:abstractNumId="4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5">
    <w:multiLevelType w:val="multilevel"/>
    <w:styleLink w:val="List 1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  <w:lvl w:ilvl="1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  <w:lvl w:ilvl="2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  <w:lvl w:ilvl="3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  <w:lvl w:ilvl="4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  <w:lvl w:ilvl="5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  <w:lvl w:ilvl="6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  <w:lvl w:ilvl="7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  <w:lvl w:ilvl="8">
      <w:start w:val="1"/>
      <w:numFmt w:val="bullet"/>
      <w:suff w:val="tab"/>
      <w:lvlText w:val="•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  <w:lang w:val="es-ES_tradnl"/>
      </w:rPr>
    </w:lvl>
  </w:abstractNum>
  <w:abstractNum w:abstractNumId="6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7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8">
    <w:multiLevelType w:val="multilevel"/>
    <w:styleLink w:val="List 2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9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</w:abstractNum>
  <w:abstractNum w:abstractNumId="10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1">
    <w:multiLevelType w:val="multilevel"/>
    <w:styleLink w:val="List 3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</w:abstractNum>
  <w:abstractNum w:abstractNumId="12">
    <w:multiLevelType w:val="multilevel"/>
    <w:lvl w:ilvl="0">
      <w:start w:val="1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</w:abstractNum>
  <w:abstractNum w:abstractNumId="13">
    <w:multiLevelType w:val="multilevel"/>
    <w:lvl w:ilvl="0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*"/>
      <w:lvlJc w:val="left"/>
      <w:pPr/>
      <w:rPr>
        <w:color w:val="0d0305"/>
        <w:position w:val="0"/>
      </w:rPr>
    </w:lvl>
  </w:abstractNum>
  <w:abstractNum w:abstractNumId="14">
    <w:multiLevelType w:val="multilevel"/>
    <w:styleLink w:val="List 4"/>
    <w:lvl w:ilvl="0">
      <w:start w:val="0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</w:abstractNum>
  <w:abstractNum w:abstractNumId="15">
    <w:multiLevelType w:val="multilevel"/>
    <w:lvl w:ilvl="0">
      <w:start w:val="1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*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*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*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*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*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*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*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*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</w:abstractNum>
  <w:abstractNum w:abstractNumId="16">
    <w:multiLevelType w:val="multilevel"/>
    <w:lvl w:ilvl="0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*"/>
      <w:lvlJc w:val="left"/>
      <w:pPr/>
      <w:rPr>
        <w:color w:val="0d0305"/>
        <w:position w:val="0"/>
      </w:rPr>
    </w:lvl>
  </w:abstractNum>
  <w:abstractNum w:abstractNumId="17">
    <w:multiLevelType w:val="multilevel"/>
    <w:styleLink w:val="List 5"/>
    <w:lvl w:ilvl="0">
      <w:start w:val="0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*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*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*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*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*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*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*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*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</w:abstractNum>
  <w:abstractNum w:abstractNumId="18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9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20">
    <w:multiLevelType w:val="multilevel"/>
    <w:styleLink w:val="List 6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2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</w:abstractNum>
  <w:abstractNum w:abstractNumId="22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23">
    <w:multiLevelType w:val="multilevel"/>
    <w:styleLink w:val="List 7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</w:abstractNum>
  <w:abstractNum w:abstractNumId="24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25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26">
    <w:multiLevelType w:val="multilevel"/>
    <w:styleLink w:val="List 8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27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28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29">
    <w:multiLevelType w:val="multilevel"/>
    <w:styleLink w:val="List 9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3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31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32">
    <w:multiLevelType w:val="multilevel"/>
    <w:styleLink w:val="List 10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33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34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35">
    <w:multiLevelType w:val="multilevel"/>
    <w:styleLink w:val="List 11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36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37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38">
    <w:multiLevelType w:val="multilevel"/>
    <w:styleLink w:val="List 12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39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40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41">
    <w:multiLevelType w:val="multilevel"/>
    <w:styleLink w:val="List 13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42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43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44">
    <w:multiLevelType w:val="multilevel"/>
    <w:styleLink w:val="List 14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4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46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47">
    <w:multiLevelType w:val="multilevel"/>
    <w:styleLink w:val="List 15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48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49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50">
    <w:multiLevelType w:val="multilevel"/>
    <w:styleLink w:val="List 16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51">
    <w:multiLevelType w:val="multilevel"/>
    <w:lvl w:ilvl="0">
      <w:start w:val="1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</w:abstractNum>
  <w:abstractNum w:abstractNumId="52">
    <w:multiLevelType w:val="multilevel"/>
    <w:lvl w:ilvl="0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*"/>
      <w:lvlJc w:val="left"/>
      <w:pPr/>
      <w:rPr>
        <w:color w:val="0d0305"/>
        <w:position w:val="0"/>
      </w:rPr>
    </w:lvl>
  </w:abstractNum>
  <w:abstractNum w:abstractNumId="53">
    <w:multiLevelType w:val="multilevel"/>
    <w:styleLink w:val="List 17"/>
    <w:lvl w:ilvl="0">
      <w:start w:val="0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</w:abstractNum>
  <w:abstractNum w:abstractNumId="54">
    <w:multiLevelType w:val="multilevel"/>
    <w:lvl w:ilvl="0">
      <w:start w:val="1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</w:abstractNum>
  <w:abstractNum w:abstractNumId="55">
    <w:multiLevelType w:val="multilevel"/>
    <w:lvl w:ilvl="0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*"/>
      <w:lvlJc w:val="left"/>
      <w:pPr/>
      <w:rPr>
        <w:color w:val="0d0305"/>
        <w:position w:val="0"/>
      </w:rPr>
    </w:lvl>
  </w:abstractNum>
  <w:abstractNum w:abstractNumId="56">
    <w:multiLevelType w:val="multilevel"/>
    <w:styleLink w:val="List 18"/>
    <w:lvl w:ilvl="0">
      <w:start w:val="0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</w:abstractNum>
  <w:abstractNum w:abstractNumId="57">
    <w:multiLevelType w:val="multilevel"/>
    <w:lvl w:ilvl="0">
      <w:start w:val="1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</w:abstractNum>
  <w:abstractNum w:abstractNumId="58">
    <w:multiLevelType w:val="multilevel"/>
    <w:lvl w:ilvl="0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*"/>
      <w:lvlJc w:val="left"/>
      <w:pPr/>
      <w:rPr>
        <w:color w:val="0d0305"/>
        <w:position w:val="0"/>
      </w:rPr>
    </w:lvl>
  </w:abstractNum>
  <w:abstractNum w:abstractNumId="59">
    <w:multiLevelType w:val="multilevel"/>
    <w:styleLink w:val="List 19"/>
    <w:lvl w:ilvl="0">
      <w:start w:val="0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</w:abstractNum>
  <w:abstractNum w:abstractNumId="60">
    <w:multiLevelType w:val="multilevel"/>
    <w:lvl w:ilvl="0">
      <w:start w:val="1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</w:abstractNum>
  <w:abstractNum w:abstractNumId="61">
    <w:multiLevelType w:val="multilevel"/>
    <w:lvl w:ilvl="0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*"/>
      <w:lvlJc w:val="left"/>
      <w:pPr/>
      <w:rPr>
        <w:color w:val="0d0305"/>
        <w:position w:val="0"/>
      </w:rPr>
    </w:lvl>
  </w:abstractNum>
  <w:abstractNum w:abstractNumId="62">
    <w:multiLevelType w:val="multilevel"/>
    <w:styleLink w:val="List 20"/>
    <w:lvl w:ilvl="0">
      <w:start w:val="0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*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</w:abstractNum>
  <w:abstractNum w:abstractNumId="63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-"/>
      <w:lvlJc w:val="left"/>
      <w:pPr>
        <w:tabs>
          <w:tab w:val="num" w:pos="457"/>
          <w:tab w:val="clear" w:pos="0"/>
        </w:tabs>
        <w:ind w:left="45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-"/>
      <w:lvlJc w:val="left"/>
      <w:pPr>
        <w:tabs>
          <w:tab w:val="num" w:pos="1024"/>
          <w:tab w:val="clear" w:pos="0"/>
        </w:tabs>
        <w:ind w:left="10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64">
    <w:multiLevelType w:val="multilevel"/>
    <w:lvl w:ilvl="0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0d0305"/>
        <w:position w:val="0"/>
      </w:rPr>
    </w:lvl>
  </w:abstractNum>
  <w:abstractNum w:abstractNumId="65">
    <w:multiLevelType w:val="multilevel"/>
    <w:styleLink w:val="List 21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0"/>
      <w:numFmt w:val="bullet"/>
      <w:suff w:val="tab"/>
      <w:lvlText w:val="-"/>
      <w:lvlJc w:val="left"/>
      <w:pPr>
        <w:tabs>
          <w:tab w:val="num" w:pos="457"/>
          <w:tab w:val="clear" w:pos="0"/>
        </w:tabs>
        <w:ind w:left="45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-"/>
      <w:lvlJc w:val="left"/>
      <w:pPr>
        <w:tabs>
          <w:tab w:val="num" w:pos="1024"/>
          <w:tab w:val="clear" w:pos="0"/>
        </w:tabs>
        <w:ind w:left="10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66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-"/>
      <w:lvlJc w:val="left"/>
      <w:pPr>
        <w:tabs>
          <w:tab w:val="num" w:pos="457"/>
          <w:tab w:val="clear" w:pos="0"/>
        </w:tabs>
        <w:ind w:left="45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-"/>
      <w:lvlJc w:val="left"/>
      <w:pPr>
        <w:tabs>
          <w:tab w:val="num" w:pos="1024"/>
          <w:tab w:val="clear" w:pos="0"/>
        </w:tabs>
        <w:ind w:left="10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67">
    <w:multiLevelType w:val="multilevel"/>
    <w:lvl w:ilvl="0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0d0305"/>
        <w:position w:val="0"/>
      </w:rPr>
    </w:lvl>
  </w:abstractNum>
  <w:abstractNum w:abstractNumId="68">
    <w:multiLevelType w:val="multilevel"/>
    <w:styleLink w:val="List 22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0"/>
      <w:numFmt w:val="bullet"/>
      <w:suff w:val="tab"/>
      <w:lvlText w:val="-"/>
      <w:lvlJc w:val="left"/>
      <w:pPr>
        <w:tabs>
          <w:tab w:val="num" w:pos="457"/>
          <w:tab w:val="clear" w:pos="0"/>
        </w:tabs>
        <w:ind w:left="45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-"/>
      <w:lvlJc w:val="left"/>
      <w:pPr>
        <w:tabs>
          <w:tab w:val="num" w:pos="1024"/>
          <w:tab w:val="clear" w:pos="0"/>
        </w:tabs>
        <w:ind w:left="10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69">
    <w:multiLevelType w:val="multilevel"/>
    <w:lvl w:ilvl="0">
      <w:start w:val="1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*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*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*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*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*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*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*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*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70">
    <w:multiLevelType w:val="multilevel"/>
    <w:lvl w:ilvl="0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*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*"/>
      <w:lvlJc w:val="left"/>
      <w:pPr/>
      <w:rPr>
        <w:color w:val="0d0305"/>
        <w:position w:val="0"/>
      </w:rPr>
    </w:lvl>
  </w:abstractNum>
  <w:abstractNum w:abstractNumId="71">
    <w:multiLevelType w:val="multilevel"/>
    <w:styleLink w:val="List 23"/>
    <w:lvl w:ilvl="0">
      <w:start w:val="0"/>
      <w:numFmt w:val="bullet"/>
      <w:suff w:val="tab"/>
      <w:lvlText w:val="*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*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*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*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*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*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*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*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*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Heading">
    <w:name w:val="Heading"/>
    <w:next w:val="Heading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:lang w:val="it-IT"/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360" w:lineRule="auto"/>
      <w:ind w:left="0" w:right="0" w:firstLine="544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numbering" w:styleId="List 0">
    <w:name w:val="List 0"/>
    <w:basedOn w:val="Imported Style 1"/>
    <w:next w:val="List 0"/>
    <w:pPr>
      <w:numPr>
        <w:numId w:val="1"/>
      </w:numPr>
    </w:pPr>
  </w:style>
  <w:style w:type="numbering" w:styleId="Imported Style 1">
    <w:name w:val="Imported Style 1"/>
    <w:next w:val="Imported Style 1"/>
    <w:pPr>
      <w:numPr>
        <w:numId w:val="2"/>
      </w:numPr>
    </w:pPr>
  </w:style>
  <w:style w:type="numbering" w:styleId="List 1">
    <w:name w:val="List 1"/>
    <w:basedOn w:val="Imported Style 2"/>
    <w:next w:val="List 1"/>
    <w:pPr>
      <w:numPr>
        <w:numId w:val="4"/>
      </w:numPr>
    </w:pPr>
  </w:style>
  <w:style w:type="numbering" w:styleId="Imported Style 2">
    <w:name w:val="Imported Style 2"/>
    <w:next w:val="Imported Style 2"/>
    <w:pPr>
      <w:numPr>
        <w:numId w:val="5"/>
      </w:numPr>
    </w:p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Heading 2">
    <w:name w:val="Heading 2"/>
    <w:next w:val="Heading 2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vertAlign w:val="baseline"/>
      <w:lang w:val="it-IT"/>
    </w:rPr>
  </w:style>
  <w:style w:type="numbering" w:styleId="List 2">
    <w:name w:val="List 2"/>
    <w:basedOn w:val="Imported Style 3"/>
    <w:next w:val="List 2"/>
    <w:pPr>
      <w:numPr>
        <w:numId w:val="7"/>
      </w:numPr>
    </w:pPr>
  </w:style>
  <w:style w:type="numbering" w:styleId="Imported Style 3">
    <w:name w:val="Imported Style 3"/>
    <w:next w:val="Imported Style 3"/>
    <w:pPr>
      <w:numPr>
        <w:numId w:val="8"/>
      </w:numPr>
    </w:pPr>
  </w:style>
  <w:style w:type="numbering" w:styleId="List 3">
    <w:name w:val="List 3"/>
    <w:basedOn w:val="Imported Style 4"/>
    <w:next w:val="List 3"/>
    <w:pPr>
      <w:numPr>
        <w:numId w:val="10"/>
      </w:numPr>
    </w:pPr>
  </w:style>
  <w:style w:type="numbering" w:styleId="Imported Style 4">
    <w:name w:val="Imported Style 4"/>
    <w:next w:val="Imported Style 4"/>
    <w:pPr>
      <w:numPr>
        <w:numId w:val="11"/>
      </w:numPr>
    </w:pPr>
  </w:style>
  <w:style w:type="paragraph" w:styleId="Text body">
    <w:name w:val="Text body"/>
    <w:next w:val="Text body"/>
    <w:pPr>
      <w:keepNext w:val="0"/>
      <w:keepLines w:val="0"/>
      <w:pageBreakBefore w:val="0"/>
      <w:widowControl w:val="0"/>
      <w:pBdr>
        <w:top w:val="nil"/>
        <w:left w:val="nil"/>
        <w:bottom w:val="nil"/>
        <w:right w:val="nil"/>
      </w:pBdr>
      <w:shd w:val="clear" w:color="auto" w:fill="auto"/>
      <w:suppressAutoHyphens w:val="1"/>
      <w:bidi w:val="0"/>
      <w:spacing w:before="0" w:after="0" w:line="264" w:lineRule="auto"/>
      <w:ind w:left="544" w:right="0" w:firstLine="0"/>
      <w:jc w:val="both"/>
      <w:outlineLvl w:val="9"/>
    </w:pPr>
    <w:rPr>
      <w:rFonts w:ascii="Arial Unicode MS" w:cs="Arial Unicode MS" w:hAnsi="Arial Unicode MS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it-IT"/>
    </w:rPr>
  </w:style>
  <w:style w:type="numbering" w:styleId="List 4">
    <w:name w:val="List 4"/>
    <w:basedOn w:val="Imported Style 5"/>
    <w:next w:val="List 4"/>
    <w:pPr>
      <w:numPr>
        <w:numId w:val="13"/>
      </w:numPr>
    </w:pPr>
  </w:style>
  <w:style w:type="numbering" w:styleId="Imported Style 5">
    <w:name w:val="Imported Style 5"/>
    <w:next w:val="Imported Style 5"/>
    <w:pPr>
      <w:numPr>
        <w:numId w:val="14"/>
      </w:numPr>
    </w:pPr>
  </w:style>
  <w:style w:type="numbering" w:styleId="List 5">
    <w:name w:val="List 5"/>
    <w:basedOn w:val="Imported Style 6"/>
    <w:next w:val="List 5"/>
    <w:pPr>
      <w:numPr>
        <w:numId w:val="16"/>
      </w:numPr>
    </w:pPr>
  </w:style>
  <w:style w:type="numbering" w:styleId="Imported Style 6">
    <w:name w:val="Imported Style 6"/>
    <w:next w:val="Imported Style 6"/>
    <w:pPr>
      <w:numPr>
        <w:numId w:val="17"/>
      </w:numPr>
    </w:pPr>
  </w:style>
  <w:style w:type="numbering" w:styleId="List 6">
    <w:name w:val="List 6"/>
    <w:basedOn w:val="Imported Style 7"/>
    <w:next w:val="List 6"/>
    <w:pPr>
      <w:numPr>
        <w:numId w:val="19"/>
      </w:numPr>
    </w:pPr>
  </w:style>
  <w:style w:type="numbering" w:styleId="Imported Style 7">
    <w:name w:val="Imported Style 7"/>
    <w:next w:val="Imported Style 7"/>
    <w:pPr>
      <w:numPr>
        <w:numId w:val="20"/>
      </w:numPr>
    </w:pPr>
  </w:style>
  <w:style w:type="numbering" w:styleId="List 7">
    <w:name w:val="List 7"/>
    <w:basedOn w:val="Imported Style 8"/>
    <w:next w:val="List 7"/>
    <w:pPr>
      <w:numPr>
        <w:numId w:val="22"/>
      </w:numPr>
    </w:pPr>
  </w:style>
  <w:style w:type="numbering" w:styleId="Imported Style 8">
    <w:name w:val="Imported Style 8"/>
    <w:next w:val="Imported Style 8"/>
    <w:pPr>
      <w:numPr>
        <w:numId w:val="23"/>
      </w:numPr>
    </w:pPr>
  </w:style>
  <w:style w:type="numbering" w:styleId="List 8">
    <w:name w:val="List 8"/>
    <w:basedOn w:val="Imported Style 9"/>
    <w:next w:val="List 8"/>
    <w:pPr>
      <w:numPr>
        <w:numId w:val="25"/>
      </w:numPr>
    </w:pPr>
  </w:style>
  <w:style w:type="numbering" w:styleId="Imported Style 9">
    <w:name w:val="Imported Style 9"/>
    <w:next w:val="Imported Style 9"/>
    <w:pPr>
      <w:numPr>
        <w:numId w:val="26"/>
      </w:numPr>
    </w:pPr>
  </w:style>
  <w:style w:type="numbering" w:styleId="List 9">
    <w:name w:val="List 9"/>
    <w:basedOn w:val="Imported Style 10"/>
    <w:next w:val="List 9"/>
    <w:pPr>
      <w:numPr>
        <w:numId w:val="28"/>
      </w:numPr>
    </w:pPr>
  </w:style>
  <w:style w:type="numbering" w:styleId="Imported Style 10">
    <w:name w:val="Imported Style 10"/>
    <w:next w:val="Imported Style 10"/>
    <w:pPr>
      <w:numPr>
        <w:numId w:val="29"/>
      </w:numPr>
    </w:pPr>
  </w:style>
  <w:style w:type="numbering" w:styleId="List 10">
    <w:name w:val="List 10"/>
    <w:basedOn w:val="Imported Style 11"/>
    <w:next w:val="List 10"/>
    <w:pPr>
      <w:numPr>
        <w:numId w:val="31"/>
      </w:numPr>
    </w:pPr>
  </w:style>
  <w:style w:type="numbering" w:styleId="Imported Style 11">
    <w:name w:val="Imported Style 11"/>
    <w:next w:val="Imported Style 11"/>
    <w:pPr>
      <w:numPr>
        <w:numId w:val="32"/>
      </w:numPr>
    </w:pPr>
  </w:style>
  <w:style w:type="numbering" w:styleId="List 11">
    <w:name w:val="List 11"/>
    <w:basedOn w:val="Imported Style 12"/>
    <w:next w:val="List 11"/>
    <w:pPr>
      <w:numPr>
        <w:numId w:val="34"/>
      </w:numPr>
    </w:pPr>
  </w:style>
  <w:style w:type="numbering" w:styleId="Imported Style 12">
    <w:name w:val="Imported Style 12"/>
    <w:next w:val="Imported Style 12"/>
    <w:pPr>
      <w:numPr>
        <w:numId w:val="35"/>
      </w:numPr>
    </w:pPr>
  </w:style>
  <w:style w:type="numbering" w:styleId="List 12">
    <w:name w:val="List 12"/>
    <w:basedOn w:val="Imported Style 13"/>
    <w:next w:val="List 12"/>
    <w:pPr>
      <w:numPr>
        <w:numId w:val="37"/>
      </w:numPr>
    </w:pPr>
  </w:style>
  <w:style w:type="numbering" w:styleId="Imported Style 13">
    <w:name w:val="Imported Style 13"/>
    <w:next w:val="Imported Style 13"/>
    <w:pPr>
      <w:numPr>
        <w:numId w:val="38"/>
      </w:numPr>
    </w:pPr>
  </w:style>
  <w:style w:type="numbering" w:styleId="List 13">
    <w:name w:val="List 13"/>
    <w:basedOn w:val="Imported Style 14"/>
    <w:next w:val="List 13"/>
    <w:pPr>
      <w:numPr>
        <w:numId w:val="40"/>
      </w:numPr>
    </w:pPr>
  </w:style>
  <w:style w:type="numbering" w:styleId="Imported Style 14">
    <w:name w:val="Imported Style 14"/>
    <w:next w:val="Imported Style 14"/>
    <w:pPr>
      <w:numPr>
        <w:numId w:val="41"/>
      </w:numPr>
    </w:pPr>
  </w:style>
  <w:style w:type="numbering" w:styleId="List 14">
    <w:name w:val="List 14"/>
    <w:basedOn w:val="Imported Style 15"/>
    <w:next w:val="List 14"/>
    <w:pPr>
      <w:numPr>
        <w:numId w:val="43"/>
      </w:numPr>
    </w:pPr>
  </w:style>
  <w:style w:type="numbering" w:styleId="Imported Style 15">
    <w:name w:val="Imported Style 15"/>
    <w:next w:val="Imported Style 15"/>
    <w:pPr>
      <w:numPr>
        <w:numId w:val="44"/>
      </w:numPr>
    </w:pPr>
  </w:style>
  <w:style w:type="numbering" w:styleId="List 15">
    <w:name w:val="List 15"/>
    <w:basedOn w:val="Imported Style 16"/>
    <w:next w:val="List 15"/>
    <w:pPr>
      <w:numPr>
        <w:numId w:val="46"/>
      </w:numPr>
    </w:pPr>
  </w:style>
  <w:style w:type="numbering" w:styleId="Imported Style 16">
    <w:name w:val="Imported Style 16"/>
    <w:next w:val="Imported Style 16"/>
    <w:pPr>
      <w:numPr>
        <w:numId w:val="47"/>
      </w:numPr>
    </w:pPr>
  </w:style>
  <w:style w:type="numbering" w:styleId="List 16">
    <w:name w:val="List 16"/>
    <w:basedOn w:val="Imported Style 17"/>
    <w:next w:val="List 16"/>
    <w:pPr>
      <w:numPr>
        <w:numId w:val="49"/>
      </w:numPr>
    </w:pPr>
  </w:style>
  <w:style w:type="numbering" w:styleId="Imported Style 17">
    <w:name w:val="Imported Style 17"/>
    <w:next w:val="Imported Style 17"/>
    <w:pPr>
      <w:numPr>
        <w:numId w:val="50"/>
      </w:numPr>
    </w:pPr>
  </w:style>
  <w:style w:type="numbering" w:styleId="List 17">
    <w:name w:val="List 17"/>
    <w:basedOn w:val="Imported Style 18"/>
    <w:next w:val="List 17"/>
    <w:pPr>
      <w:numPr>
        <w:numId w:val="52"/>
      </w:numPr>
    </w:pPr>
  </w:style>
  <w:style w:type="numbering" w:styleId="Imported Style 18">
    <w:name w:val="Imported Style 18"/>
    <w:next w:val="Imported Style 18"/>
    <w:pPr>
      <w:numPr>
        <w:numId w:val="53"/>
      </w:numPr>
    </w:pPr>
  </w:style>
  <w:style w:type="numbering" w:styleId="List 18">
    <w:name w:val="List 18"/>
    <w:basedOn w:val="Imported Style 19"/>
    <w:next w:val="List 18"/>
    <w:pPr>
      <w:numPr>
        <w:numId w:val="55"/>
      </w:numPr>
    </w:pPr>
  </w:style>
  <w:style w:type="numbering" w:styleId="Imported Style 19">
    <w:name w:val="Imported Style 19"/>
    <w:next w:val="Imported Style 19"/>
    <w:pPr>
      <w:numPr>
        <w:numId w:val="56"/>
      </w:numPr>
    </w:pPr>
  </w:style>
  <w:style w:type="numbering" w:styleId="List 19">
    <w:name w:val="List 19"/>
    <w:basedOn w:val="Imported Style 20"/>
    <w:next w:val="List 19"/>
    <w:pPr>
      <w:numPr>
        <w:numId w:val="58"/>
      </w:numPr>
    </w:pPr>
  </w:style>
  <w:style w:type="numbering" w:styleId="Imported Style 20">
    <w:name w:val="Imported Style 20"/>
    <w:next w:val="Imported Style 20"/>
    <w:pPr>
      <w:numPr>
        <w:numId w:val="59"/>
      </w:numPr>
    </w:pPr>
  </w:style>
  <w:style w:type="numbering" w:styleId="List 20">
    <w:name w:val="List 20"/>
    <w:basedOn w:val="Imported Style 21"/>
    <w:next w:val="List 20"/>
    <w:pPr>
      <w:numPr>
        <w:numId w:val="61"/>
      </w:numPr>
    </w:pPr>
  </w:style>
  <w:style w:type="numbering" w:styleId="Imported Style 21">
    <w:name w:val="Imported Style 21"/>
    <w:next w:val="Imported Style 21"/>
    <w:pPr>
      <w:numPr>
        <w:numId w:val="62"/>
      </w:numPr>
    </w:pPr>
  </w:style>
  <w:style w:type="paragraph" w:styleId="Footnote">
    <w:name w:val="Footnote"/>
    <w:next w:val="Footnote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numbering" w:styleId="List 21">
    <w:name w:val="List 21"/>
    <w:basedOn w:val="Imported Style 22"/>
    <w:next w:val="List 21"/>
    <w:pPr>
      <w:numPr>
        <w:numId w:val="64"/>
      </w:numPr>
    </w:pPr>
  </w:style>
  <w:style w:type="numbering" w:styleId="Imported Style 22">
    <w:name w:val="Imported Style 22"/>
    <w:next w:val="Imported Style 22"/>
    <w:pPr>
      <w:numPr>
        <w:numId w:val="65"/>
      </w:numPr>
    </w:pPr>
  </w:style>
  <w:style w:type="numbering" w:styleId="List 22">
    <w:name w:val="List 22"/>
    <w:basedOn w:val="Imported Style 23"/>
    <w:next w:val="List 22"/>
    <w:pPr>
      <w:numPr>
        <w:numId w:val="67"/>
      </w:numPr>
    </w:pPr>
  </w:style>
  <w:style w:type="numbering" w:styleId="Imported Style 23">
    <w:name w:val="Imported Style 23"/>
    <w:next w:val="Imported Style 23"/>
    <w:pPr>
      <w:numPr>
        <w:numId w:val="68"/>
      </w:numPr>
    </w:pPr>
  </w:style>
  <w:style w:type="numbering" w:styleId="List 23">
    <w:name w:val="List 23"/>
    <w:basedOn w:val="Imported Style 24"/>
    <w:next w:val="List 23"/>
    <w:pPr>
      <w:numPr>
        <w:numId w:val="70"/>
      </w:numPr>
    </w:pPr>
  </w:style>
  <w:style w:type="numbering" w:styleId="Imported Style 24">
    <w:name w:val="Imported Style 24"/>
    <w:next w:val="Imported Style 24"/>
    <w:pPr>
      <w:numPr>
        <w:numId w:val="7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