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/>
        <w:br w:type="page"/>
      </w:r>
    </w:p>
    <w:p>
      <w:pPr>
        <w:pStyle w:val="Body"/>
        <w:rPr/>
      </w:pPr>
      <w:r>
        <w:rPr>
          <w:rtl w:val="0"/>
          <w:lang w:val="it-IT"/>
        </w:rPr>
        <w:t>Anche i testi del Sinodo sulla Famiglia e 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>esortazione post-sinodale sull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 xml:space="preserve">amore in famiglia di papa Francesco utilizzano il termine </w:t>
      </w:r>
      <w:r>
        <w:rPr>
          <w:rFonts w:hAnsi="Times New Roman" w:hint="default"/>
          <w:rtl w:val="0"/>
          <w:lang w:val="it-IT"/>
        </w:rPr>
        <w:t>“</w:t>
      </w:r>
      <w:r>
        <w:rPr>
          <w:rtl w:val="0"/>
          <w:lang w:val="it-IT"/>
        </w:rPr>
        <w:t>gender</w:t>
      </w:r>
      <w:r>
        <w:rPr>
          <w:rFonts w:hAnsi="Times New Roman" w:hint="default"/>
          <w:rtl w:val="0"/>
          <w:lang w:val="it-IT"/>
        </w:rPr>
        <w:t xml:space="preserve">” </w:t>
      </w:r>
      <w:r>
        <w:rPr>
          <w:rtl w:val="0"/>
          <w:lang w:val="it-IT"/>
        </w:rPr>
        <w:t>con due significati diversi. Il testo finale dell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 xml:space="preserve">assemblea sinodale del 2015 fa ricordo al termine </w:t>
      </w:r>
      <w:r>
        <w:rPr>
          <w:rFonts w:hAnsi="Times New Roman" w:hint="default"/>
          <w:rtl w:val="0"/>
          <w:lang w:val="it-IT"/>
        </w:rPr>
        <w:t>“</w:t>
      </w:r>
      <w:r>
        <w:rPr>
          <w:rtl w:val="0"/>
          <w:lang w:val="it-IT"/>
        </w:rPr>
        <w:t>gender</w:t>
      </w:r>
      <w:r>
        <w:rPr>
          <w:rFonts w:hAnsi="Times New Roman" w:hint="default"/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nei due modi presentati in precedenza. In un paragrafo (n. 8) la parola </w:t>
      </w:r>
      <w:r>
        <w:rPr>
          <w:rFonts w:hAnsi="Times New Roman" w:hint="default"/>
          <w:rtl w:val="0"/>
          <w:lang w:val="it-IT"/>
        </w:rPr>
        <w:t>“</w:t>
      </w:r>
      <w:r>
        <w:rPr>
          <w:rtl w:val="0"/>
          <w:lang w:val="it-IT"/>
        </w:rPr>
        <w:t>gender</w:t>
      </w:r>
      <w:r>
        <w:rPr>
          <w:rFonts w:hAnsi="Times New Roman" w:hint="default"/>
          <w:rtl w:val="0"/>
          <w:lang w:val="it-IT"/>
        </w:rPr>
        <w:t xml:space="preserve">” è </w:t>
      </w:r>
      <w:r>
        <w:rPr>
          <w:rtl w:val="0"/>
          <w:lang w:val="it-IT"/>
        </w:rPr>
        <w:t xml:space="preserve">declinata con il significato di </w:t>
      </w:r>
      <w:r>
        <w:rPr>
          <w:rFonts w:hAnsi="Times New Roman" w:hint="default"/>
          <w:rtl w:val="0"/>
          <w:lang w:val="it-IT"/>
        </w:rPr>
        <w:t>“</w:t>
      </w:r>
      <w:r>
        <w:rPr>
          <w:rtl w:val="0"/>
          <w:lang w:val="it-IT"/>
        </w:rPr>
        <w:t>ideologia del gender</w:t>
      </w:r>
      <w:r>
        <w:rPr>
          <w:rFonts w:hAnsi="Times New Roman" w:hint="default"/>
          <w:rtl w:val="0"/>
          <w:lang w:val="it-IT"/>
        </w:rPr>
        <w:t>”</w:t>
      </w:r>
      <w:r>
        <w:rPr>
          <w:rtl w:val="0"/>
          <w:lang w:val="it-IT"/>
        </w:rPr>
        <w:t>:</w:t>
      </w:r>
    </w:p>
    <w:p>
      <w:pPr>
        <w:pStyle w:val="citaz nel corpo"/>
        <w:rPr/>
      </w:pPr>
      <w:r>
        <w:rPr>
          <w:rtl w:val="0"/>
          <w:lang w:val="it-IT"/>
        </w:rPr>
        <w:t xml:space="preserve">8 </w:t>
      </w:r>
      <w:r>
        <w:rPr>
          <w:rtl w:val="0"/>
          <w:lang w:val="it-IT"/>
        </w:rPr>
        <w:t>Una sfida culturale odierna di grande rilievo emerge da quell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 xml:space="preserve">ideologia del </w:t>
      </w:r>
      <w:r>
        <w:rPr>
          <w:rFonts w:hAnsi="Times New Roman" w:hint="default"/>
          <w:rtl w:val="0"/>
        </w:rPr>
        <w:t>“</w:t>
      </w:r>
      <w:r>
        <w:rPr>
          <w:rtl w:val="0"/>
        </w:rPr>
        <w:t>gender</w:t>
      </w:r>
      <w:r>
        <w:rPr>
          <w:rFonts w:hAnsi="Times New Roman" w:hint="default"/>
          <w:rtl w:val="0"/>
        </w:rPr>
        <w:t xml:space="preserve">” </w:t>
      </w:r>
      <w:r>
        <w:rPr>
          <w:rtl w:val="0"/>
          <w:lang w:val="it-IT"/>
        </w:rPr>
        <w:t>che nega la differenza e la reciprocit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naturale di uomo e donna. Essa prospetta una societ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senza differenze di sesso, e svuota la base antropologica della famiglia. Questa ideologia induce progetti educativi e orientamenti legislativi che promuovono un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</w:rPr>
        <w:t>identit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personale e un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</w:rPr>
        <w:t>intimit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affettiva radicalmente svincolate dalla diversit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 xml:space="preserve">biologica fra maschio e femmina. </w:t>
      </w:r>
    </w:p>
    <w:p>
      <w:pPr>
        <w:pStyle w:val="citaz nel corpo"/>
        <w:rPr/>
      </w:pPr>
    </w:p>
    <w:p>
      <w:pPr>
        <w:pStyle w:val="citaz nel corpo"/>
        <w:rPr/>
      </w:pPr>
      <w:r>
        <w:rPr>
          <w:rtl w:val="0"/>
          <w:lang w:val="it-IT"/>
        </w:rPr>
        <w:t xml:space="preserve">58 </w:t>
      </w:r>
      <w:r>
        <w:rPr>
          <w:rtl w:val="0"/>
          <w:lang w:val="it-IT"/>
        </w:rPr>
        <w:t>La loro differenza, nella pari dignit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</w:rPr>
        <w:t xml:space="preserve">personale, </w:t>
      </w:r>
      <w:r>
        <w:rPr>
          <w:rFonts w:hAnsi="Times New Roman" w:hint="default"/>
          <w:rtl w:val="0"/>
          <w:lang w:val="it-IT"/>
        </w:rPr>
        <w:t xml:space="preserve">è </w:t>
      </w:r>
      <w:r>
        <w:rPr>
          <w:rtl w:val="0"/>
          <w:lang w:val="it-IT"/>
        </w:rPr>
        <w:t>il sigillo della buona creazione di Dio. Secondo il principio cristiano, anima e corpo, come anche sesso biologico (</w:t>
      </w:r>
      <w:r>
        <w:rPr>
          <w:i w:val="1"/>
          <w:iCs w:val="1"/>
          <w:rtl w:val="0"/>
        </w:rPr>
        <w:t>sex</w:t>
      </w:r>
      <w:r>
        <w:rPr>
          <w:rtl w:val="0"/>
          <w:lang w:val="it-IT"/>
        </w:rPr>
        <w:t>) e ruolo sociale-culturale del sesso (</w:t>
      </w:r>
      <w:r>
        <w:rPr>
          <w:i w:val="1"/>
          <w:iCs w:val="1"/>
          <w:rtl w:val="0"/>
        </w:rPr>
        <w:t>gender</w:t>
      </w:r>
      <w:r>
        <w:rPr>
          <w:rtl w:val="0"/>
          <w:lang w:val="it-IT"/>
        </w:rPr>
        <w:t>), si possono distinguere, ma non separare</w:t>
      </w:r>
    </w:p>
    <w:p>
      <w:pPr>
        <w:pStyle w:val="citaz nel corpo"/>
        <w:rPr/>
      </w:pPr>
    </w:p>
    <w:p>
      <w:pPr>
        <w:pStyle w:val="citaz nel corpo"/>
        <w:rPr/>
      </w:pPr>
    </w:p>
    <w:p>
      <w:pPr>
        <w:pStyle w:val="citaz nel corpo"/>
        <w:rPr/>
      </w:pPr>
    </w:p>
    <w:p>
      <w:pPr>
        <w:pStyle w:val="citaz nel corpo"/>
        <w:rPr/>
      </w:pPr>
    </w:p>
    <w:p>
      <w:pPr>
        <w:pStyle w:val="citaz nel corpo"/>
        <w:rPr/>
      </w:pPr>
      <w:r>
        <w:rPr>
          <w:rtl w:val="0"/>
        </w:rPr>
        <w:t>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</w:rPr>
        <w:t>identit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umana viene consegnata ad un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>opzione individualistica, anche mutevole nel tempo. Nella visione della fede, la differenza sessuale umana porta in s</w:t>
      </w:r>
      <w:r>
        <w:rPr>
          <w:rFonts w:hAnsi="Times New Roman" w:hint="default"/>
          <w:rtl w:val="0"/>
        </w:rPr>
        <w:t xml:space="preserve">é </w:t>
      </w:r>
      <w:r>
        <w:rPr>
          <w:rtl w:val="0"/>
        </w:rPr>
        <w:t>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 xml:space="preserve">immagine e la somiglianza di Dio (cf. </w:t>
      </w:r>
      <w:r>
        <w:rPr>
          <w:i w:val="1"/>
          <w:iCs w:val="1"/>
          <w:rtl w:val="0"/>
        </w:rPr>
        <w:t>Gn</w:t>
      </w:r>
      <w:r>
        <w:rPr>
          <w:rtl w:val="0"/>
        </w:rPr>
        <w:t xml:space="preserve"> 1,26-27). </w:t>
      </w:r>
      <w:r>
        <w:rPr>
          <w:rFonts w:hAnsi="Times New Roman" w:hint="default"/>
          <w:rtl w:val="0"/>
          <w:lang w:val="fr-FR"/>
        </w:rPr>
        <w:t>«</w:t>
      </w:r>
      <w:r>
        <w:rPr>
          <w:rtl w:val="0"/>
          <w:lang w:val="it-IT"/>
        </w:rPr>
        <w:t>Questo ci dice che non solo 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>uomo preso a s</w:t>
      </w:r>
      <w:r>
        <w:rPr>
          <w:rFonts w:hAnsi="Times New Roman" w:hint="default"/>
          <w:rtl w:val="0"/>
          <w:lang w:val="it-IT"/>
        </w:rPr>
        <w:t xml:space="preserve">é è </w:t>
      </w:r>
      <w:r>
        <w:rPr>
          <w:rtl w:val="0"/>
          <w:lang w:val="it-IT"/>
        </w:rPr>
        <w:t>immagine di Dio, non solo la donna presa a s</w:t>
      </w:r>
      <w:r>
        <w:rPr>
          <w:rFonts w:hAnsi="Times New Roman" w:hint="default"/>
          <w:rtl w:val="0"/>
          <w:lang w:val="it-IT"/>
        </w:rPr>
        <w:t xml:space="preserve">é è </w:t>
      </w:r>
      <w:r>
        <w:rPr>
          <w:rtl w:val="0"/>
          <w:lang w:val="it-IT"/>
        </w:rPr>
        <w:t>immagine di Dio, ma anche 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>uomo e la donna, come coppia, sono immagine di Dio. [</w:t>
      </w:r>
      <w:r>
        <w:rPr>
          <w:rFonts w:hAnsi="Times New Roman" w:hint="default"/>
          <w:rtl w:val="0"/>
        </w:rPr>
        <w:t>…</w:t>
      </w:r>
      <w:r>
        <w:rPr>
          <w:rtl w:val="0"/>
          <w:lang w:val="it-IT"/>
        </w:rPr>
        <w:t>] Possiamo dire che senza 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 xml:space="preserve">arricchimento reciproco in questa relazione </w:t>
      </w:r>
      <w:r>
        <w:rPr>
          <w:rFonts w:hAnsi="Times New Roman" w:hint="default"/>
          <w:rtl w:val="0"/>
        </w:rPr>
        <w:t xml:space="preserve">– </w:t>
      </w:r>
      <w:r>
        <w:rPr>
          <w:rtl w:val="0"/>
          <w:lang w:val="it-IT"/>
        </w:rPr>
        <w:t>nel pensiero e nell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 xml:space="preserve">azione, negli affetti e nel lavoro, anche nella fede </w:t>
      </w:r>
      <w:r>
        <w:rPr>
          <w:rFonts w:hAnsi="Times New Roman" w:hint="default"/>
          <w:rtl w:val="0"/>
        </w:rPr>
        <w:t xml:space="preserve">– </w:t>
      </w:r>
      <w:r>
        <w:rPr>
          <w:rtl w:val="0"/>
          <w:lang w:val="it-IT"/>
        </w:rPr>
        <w:t>i due non possono nemmeno capire fino in fondo che cosa significa essere uomo e donna. La cultura moderna e contemporanea ha aperto nuovi spazi, nuove libert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e nuove profondit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per 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>arricchimento della comprensione di questa differenza. Ma ha introdotto anche molti dubbi e molto scetticismo. [</w:t>
      </w:r>
      <w:r>
        <w:rPr>
          <w:rFonts w:hAnsi="Times New Roman" w:hint="default"/>
          <w:rtl w:val="0"/>
        </w:rPr>
        <w:t>…</w:t>
      </w:r>
      <w:r>
        <w:rPr>
          <w:rtl w:val="0"/>
          <w:lang w:val="it-IT"/>
        </w:rPr>
        <w:t>] La rimozione della differenza [</w:t>
      </w:r>
      <w:r>
        <w:rPr>
          <w:rFonts w:hAnsi="Times New Roman" w:hint="default"/>
          <w:rtl w:val="0"/>
        </w:rPr>
        <w:t>…</w:t>
      </w:r>
      <w:r>
        <w:rPr>
          <w:rtl w:val="0"/>
        </w:rPr>
        <w:t>]</w:t>
      </w:r>
      <w:r>
        <w:rPr>
          <w:rFonts w:hAnsi="Times New Roman" w:hint="default"/>
          <w:rtl w:val="0"/>
          <w:lang w:val="it-IT"/>
        </w:rPr>
        <w:t xml:space="preserve">è </w:t>
      </w:r>
      <w:r>
        <w:rPr>
          <w:rtl w:val="0"/>
          <w:lang w:val="it-IT"/>
        </w:rPr>
        <w:t>il problema, non la soluzione</w:t>
      </w:r>
      <w:r>
        <w:rPr>
          <w:rFonts w:hAnsi="Times New Roman" w:hint="default"/>
          <w:rtl w:val="0"/>
          <w:lang w:val="fr-FR"/>
        </w:rPr>
        <w:t>»</w:t>
      </w:r>
      <w:r>
        <w:rPr>
          <w:rtl w:val="0"/>
          <w:lang w:val="it-IT"/>
        </w:rPr>
        <w:t>.</w:t>
      </w:r>
      <w:r>
        <w:rPr>
          <w:vertAlign w:val="superscript"/>
        </w:rPr>
        <w:footnoteReference w:id="1"/>
      </w:r>
    </w:p>
    <w:p>
      <w:pPr>
        <w:pStyle w:val="Body"/>
        <w:bidi w:val="0"/>
      </w:pPr>
      <w:r>
        <w:rPr>
          <w:rFonts w:ascii="Times New Roman" w:cs="Arial Unicode MS" w:hAnsi="Arial Unicode MS" w:eastAsia="Arial Unicode MS"/>
          <w:rtl w:val="0"/>
          <w:lang w:val="it-IT"/>
        </w:rPr>
        <w:t xml:space="preserve">In un altro paragrafo dello stesso testo (il 58), al termine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rtl w:val="0"/>
          <w:lang w:val="it-IT"/>
        </w:rPr>
        <w:t>gender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” 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viene, invece, attribuito il significato di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rtl w:val="0"/>
          <w:lang w:val="it-IT"/>
        </w:rPr>
        <w:t>identit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it-IT"/>
        </w:rPr>
        <w:t>di genere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” </w:t>
      </w:r>
      <w:r>
        <w:rPr>
          <w:rFonts w:ascii="Times New Roman" w:cs="Arial Unicode MS" w:hAnsi="Arial Unicode MS" w:eastAsia="Arial Unicode MS"/>
          <w:rtl w:val="0"/>
          <w:lang w:val="it-IT"/>
        </w:rPr>
        <w:t>(ruolo socio-culturale del sesso):</w:t>
      </w:r>
    </w:p>
    <w:p>
      <w:pPr>
        <w:pStyle w:val="citaz nel corpo"/>
        <w:rPr/>
      </w:pPr>
      <w:r>
        <w:rPr>
          <w:rtl w:val="0"/>
          <w:lang w:val="it-IT"/>
        </w:rPr>
        <w:t>Nel cambiamento culturale in atto spesso vengono presentati modelli in contrasto con la visione cristiana della famiglia. La sessualit</w:t>
      </w:r>
      <w:r>
        <w:rPr>
          <w:rFonts w:hAnsi="Times New Roman" w:hint="default"/>
          <w:rtl w:val="0"/>
          <w:lang w:val="it-IT"/>
        </w:rPr>
        <w:t xml:space="preserve">à è </w:t>
      </w:r>
      <w:r>
        <w:rPr>
          <w:rtl w:val="0"/>
          <w:lang w:val="it-IT"/>
        </w:rPr>
        <w:t>spesso svincolata da un progetto di amore autentico. In alcuni Paesi vengono perfino imposti dall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</w:rPr>
        <w:t>autorit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pubblica progetti formativi che presentano contenuti in contrasto con la visione umana e cristiana: rispetto ad essi vanno affermati con decisione la libert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della Chiesa di insegnare la propria dottrina e il diritto all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 xml:space="preserve">obiezione di coscienza da parte degli educatori. Peraltro, la famiglia, pur rimanendo spazio pedagogico primario (cf. </w:t>
      </w:r>
      <w:r>
        <w:rPr>
          <w:i w:val="1"/>
          <w:iCs w:val="1"/>
          <w:rtl w:val="0"/>
          <w:lang w:val="it-IT"/>
        </w:rPr>
        <w:t>Gravissimum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Educationis</w:t>
      </w:r>
      <w:r>
        <w:rPr>
          <w:rtl w:val="0"/>
          <w:lang w:val="it-IT"/>
        </w:rPr>
        <w:t>, 3), non pu</w:t>
      </w:r>
      <w:r>
        <w:rPr>
          <w:rFonts w:hAnsi="Times New Roman" w:hint="default"/>
          <w:rtl w:val="0"/>
          <w:lang w:val="it-IT"/>
        </w:rPr>
        <w:t xml:space="preserve">ò </w:t>
      </w:r>
      <w:r>
        <w:rPr>
          <w:rtl w:val="0"/>
          <w:lang w:val="it-IT"/>
        </w:rPr>
        <w:t>essere 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>unico luogo di educazione alla sessualit</w:t>
      </w:r>
      <w:r>
        <w:rPr>
          <w:rFonts w:hAnsi="Times New Roman" w:hint="default"/>
          <w:rtl w:val="0"/>
          <w:lang w:val="fr-FR"/>
        </w:rPr>
        <w:t>à</w:t>
      </w:r>
      <w:r>
        <w:rPr>
          <w:rtl w:val="0"/>
          <w:lang w:val="it-IT"/>
        </w:rPr>
        <w:t>. Occorre, per questo, strutturare veri e propri percorsi pastorali di supporto, rivolti sia ai singoli sia alle coppie, con una particolare attenzione all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</w:rPr>
        <w:t>et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della pubert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e dell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>adolescenza, nei quali aiutare a scoprire la bellezza della sessualit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nell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>amore. Il cristianesimo proclama che Dio ha creato 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>uomo come maschio e femmina, e li ha benedetti affinch</w:t>
      </w:r>
      <w:r>
        <w:rPr>
          <w:rFonts w:hAnsi="Times New Roman" w:hint="default"/>
          <w:rtl w:val="0"/>
        </w:rPr>
        <w:t xml:space="preserve">é </w:t>
      </w:r>
      <w:r>
        <w:rPr>
          <w:rtl w:val="0"/>
          <w:lang w:val="it-IT"/>
        </w:rPr>
        <w:t>formassero una sola carne e trasmettessero la vita (cf. Gen 1, 27-28; 2, 24). La loro differenza, nella pari dignit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</w:rPr>
        <w:t xml:space="preserve">personale, </w:t>
      </w:r>
      <w:r>
        <w:rPr>
          <w:rFonts w:hAnsi="Times New Roman" w:hint="default"/>
          <w:rtl w:val="0"/>
          <w:lang w:val="it-IT"/>
        </w:rPr>
        <w:t xml:space="preserve">è </w:t>
      </w:r>
      <w:r>
        <w:rPr>
          <w:rtl w:val="0"/>
          <w:lang w:val="it-IT"/>
        </w:rPr>
        <w:t>il sigillo della buona creazione di Dio. Secondo il principio cristiano, anima e corpo, come anche sesso biologico (</w:t>
      </w:r>
      <w:r>
        <w:rPr>
          <w:i w:val="1"/>
          <w:iCs w:val="1"/>
          <w:rtl w:val="0"/>
        </w:rPr>
        <w:t>sex</w:t>
      </w:r>
      <w:r>
        <w:rPr>
          <w:rtl w:val="0"/>
          <w:lang w:val="it-IT"/>
        </w:rPr>
        <w:t>) e ruolo sociale-culturale del sesso (</w:t>
      </w:r>
      <w:r>
        <w:rPr>
          <w:i w:val="1"/>
          <w:iCs w:val="1"/>
          <w:rtl w:val="0"/>
        </w:rPr>
        <w:t>gender</w:t>
      </w:r>
      <w:r>
        <w:rPr>
          <w:rtl w:val="0"/>
          <w:lang w:val="it-IT"/>
        </w:rPr>
        <w:t>), si possono distinguere, ma non separare</w:t>
      </w:r>
      <w:r>
        <w:rPr>
          <w:rtl w:val="0"/>
          <w:lang w:val="it-IT"/>
        </w:rPr>
        <w:t>.</w:t>
      </w:r>
      <w:r>
        <w:rPr>
          <w:vertAlign w:val="superscript"/>
        </w:rPr>
        <w:footnoteReference w:id="2"/>
      </w:r>
    </w:p>
    <w:p>
      <w:pPr>
        <w:pStyle w:val="Body"/>
        <w:bidi w:val="0"/>
      </w:pPr>
      <w:r>
        <w:rPr>
          <w:rFonts w:ascii="Times New Roman" w:cs="Arial Unicode MS" w:hAnsi="Arial Unicode MS" w:eastAsia="Arial Unicode MS"/>
          <w:rtl w:val="0"/>
          <w:lang w:val="it-IT"/>
        </w:rPr>
        <w:t>La presenza di un termine con due significati diversi in uno stesso documento attesta la complessit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it-IT"/>
        </w:rPr>
        <w:t>della questione che si sta affrontando e insegna al lettore ad avere un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>attenzione particolare nell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uso delle parole. Tale doppio utilizzo del termine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  <w:lang w:val="it-IT"/>
        </w:rPr>
        <w:t>ancor pi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rtl w:val="0"/>
          <w:lang w:val="it-IT"/>
        </w:rPr>
        <w:t>evidente nell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esortazione apostolica post-sinodale di papa Francesco 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it-IT"/>
        </w:rPr>
        <w:t>Amoris Laetitia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 sull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amore in famiglia (8 febbraio 2016), in cui in un 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it-IT"/>
        </w:rPr>
        <w:t>unico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 paragrafo si attribuiscono 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it-IT"/>
        </w:rPr>
        <w:t>due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 significati diversi alla parola in questione, facendo ricorso ai testi sinodali precedenti:</w:t>
      </w:r>
    </w:p>
    <w:p>
      <w:pPr>
        <w:pStyle w:val="citaz nel corpo"/>
      </w:pPr>
      <w:r>
        <w:rPr>
          <w:rtl w:val="0"/>
        </w:rPr>
        <w:t>Un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>altra sfida emerge da varie forme di un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 xml:space="preserve">ideologia, genericamente chiamata </w:t>
      </w:r>
      <w:r>
        <w:rPr>
          <w:i w:val="1"/>
          <w:iCs w:val="1"/>
          <w:rtl w:val="0"/>
        </w:rPr>
        <w:t>gender</w:t>
      </w:r>
      <w:r>
        <w:rPr>
          <w:rtl w:val="0"/>
          <w:lang w:val="it-IT"/>
        </w:rPr>
        <w:t xml:space="preserve">, che </w:t>
      </w:r>
      <w:r>
        <w:rPr>
          <w:rFonts w:hAnsi="Times New Roman" w:hint="default"/>
          <w:rtl w:val="0"/>
          <w:lang w:val="fr-FR"/>
        </w:rPr>
        <w:t>«</w:t>
      </w:r>
      <w:r>
        <w:rPr>
          <w:rtl w:val="0"/>
          <w:lang w:val="it-IT"/>
        </w:rPr>
        <w:t>nega la differenza e la reciprocit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naturale di uomo e donna. Essa prospetta una societ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senza differenze di sesso, e svuota la base antropologica della famiglia. Questa ideologia induce progetti educativi e orientamenti legislativi che promuovono un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</w:rPr>
        <w:t>identit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personale e un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</w:rPr>
        <w:t>intimit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affettiva radicalmente svincolate dalla diversit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biologica fra maschio e femmina. 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</w:rPr>
        <w:t>identit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umana viene consegnata ad un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>opzione individualistica, anche mutevole nel tempo</w:t>
      </w:r>
      <w:r>
        <w:rPr>
          <w:rFonts w:hAnsi="Times New Roman" w:hint="default"/>
          <w:rtl w:val="0"/>
          <w:lang w:val="fr-FR"/>
        </w:rPr>
        <w:t>»</w:t>
      </w:r>
      <w:r>
        <w:rPr>
          <w:rtl w:val="0"/>
        </w:rPr>
        <w:t>.</w:t>
      </w:r>
      <w:r>
        <w:rPr>
          <w:rtl w:val="0"/>
          <w:lang w:val="it-IT"/>
        </w:rPr>
        <w:t xml:space="preserve"> </w:t>
      </w:r>
      <w:r>
        <w:rPr>
          <w:rFonts w:hAnsi="Times New Roman" w:hint="default"/>
          <w:caps w:val="1"/>
          <w:rtl w:val="0"/>
          <w:lang w:val="it-IT"/>
        </w:rPr>
        <w:t>è</w:t>
      </w:r>
      <w:r>
        <w:rPr>
          <w:rtl w:val="0"/>
          <w:lang w:val="it-IT"/>
        </w:rPr>
        <w:t xml:space="preserve"> inquietante che alcune ideologie di questo tipo, che pretendono di rispondere a certe aspirazioni a volte comprensibili, cerchino di imporsi come un pensiero unico che determini anche 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 xml:space="preserve">educazione dei bambini. Non si deve ignorare che </w:t>
      </w:r>
      <w:r>
        <w:rPr>
          <w:rFonts w:hAnsi="Times New Roman" w:hint="default"/>
          <w:rtl w:val="0"/>
          <w:lang w:val="fr-FR"/>
        </w:rPr>
        <w:t>«</w:t>
      </w:r>
      <w:r>
        <w:rPr>
          <w:rtl w:val="0"/>
          <w:lang w:val="it-IT"/>
        </w:rPr>
        <w:t>sesso biologico (sex) e ruolo sociale-culturale del sesso (</w:t>
      </w:r>
      <w:r>
        <w:rPr>
          <w:i w:val="1"/>
          <w:iCs w:val="1"/>
          <w:rtl w:val="0"/>
        </w:rPr>
        <w:t>gender</w:t>
      </w:r>
      <w:r>
        <w:rPr>
          <w:rtl w:val="0"/>
          <w:lang w:val="it-IT"/>
        </w:rPr>
        <w:t>), si possono distinguere, ma non separare</w:t>
      </w:r>
      <w:r>
        <w:rPr>
          <w:rFonts w:hAnsi="Times New Roman" w:hint="default"/>
          <w:rtl w:val="0"/>
          <w:lang w:val="fr-FR"/>
        </w:rPr>
        <w:t>»</w:t>
      </w:r>
      <w:r>
        <w:rPr>
          <w:rtl w:val="0"/>
        </w:rPr>
        <w:t>.</w:t>
      </w:r>
      <w:r>
        <w:rPr>
          <w:rtl w:val="0"/>
          <w:lang w:val="it-IT"/>
        </w:rPr>
        <w:t xml:space="preserve"> </w:t>
      </w:r>
      <w:r>
        <w:rPr>
          <w:rtl w:val="0"/>
        </w:rPr>
        <w:t>D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 xml:space="preserve">altra parte, </w:t>
      </w:r>
      <w:r>
        <w:rPr>
          <w:rFonts w:hAnsi="Times New Roman" w:hint="default"/>
          <w:rtl w:val="0"/>
          <w:lang w:val="fr-FR"/>
        </w:rPr>
        <w:t>«</w:t>
      </w:r>
      <w:r>
        <w:rPr>
          <w:rtl w:val="0"/>
          <w:lang w:val="it-IT"/>
        </w:rPr>
        <w:t>la rivoluzione biotecnologica nel campo della procreazione umana ha introdotto la possibilit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di manipolare l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>atto generativo, rendendolo indipendente dalla relazione sessuale tra uomo e donna. In questo modo, la vita umana e la genitorialit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sono divenute realt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componibili e scomponibili, soggette prevalentemente ai desideri di singoli o di coppie</w:t>
      </w:r>
      <w:r>
        <w:rPr>
          <w:rFonts w:hAnsi="Times New Roman" w:hint="default"/>
          <w:rtl w:val="0"/>
          <w:lang w:val="fr-FR"/>
        </w:rPr>
        <w:t>»</w:t>
      </w:r>
      <w:r>
        <w:rPr>
          <w:rtl w:val="0"/>
        </w:rPr>
        <w:t>.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Una cosa </w:t>
      </w:r>
      <w:r>
        <w:rPr>
          <w:rFonts w:hAnsi="Times New Roman" w:hint="default"/>
          <w:rtl w:val="0"/>
          <w:lang w:val="it-IT"/>
        </w:rPr>
        <w:t xml:space="preserve">è </w:t>
      </w:r>
      <w:r>
        <w:rPr>
          <w:rtl w:val="0"/>
          <w:lang w:val="it-IT"/>
        </w:rPr>
        <w:t>comprendere la fragilit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>umana o la complessit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tl w:val="0"/>
          <w:lang w:val="it-IT"/>
        </w:rPr>
        <w:t xml:space="preserve">della vita, altra cosa </w:t>
      </w:r>
      <w:r>
        <w:rPr>
          <w:rFonts w:hAnsi="Times New Roman" w:hint="default"/>
          <w:rtl w:val="0"/>
          <w:lang w:val="it-IT"/>
        </w:rPr>
        <w:t xml:space="preserve">è </w:t>
      </w:r>
      <w:r>
        <w:rPr>
          <w:rtl w:val="0"/>
          <w:lang w:val="it-IT"/>
        </w:rPr>
        <w:t>accettare ideologie che pretendono di dividere in due gli aspetti inseparabili della realt</w:t>
      </w:r>
      <w:r>
        <w:rPr>
          <w:rFonts w:hAnsi="Times New Roman" w:hint="default"/>
          <w:rtl w:val="0"/>
          <w:lang w:val="fr-FR"/>
        </w:rPr>
        <w:t>à</w:t>
      </w:r>
      <w:r>
        <w:rPr>
          <w:rtl w:val="0"/>
          <w:lang w:val="it-IT"/>
        </w:rPr>
        <w:t>. Non cadiamo nel peccato di pretendere di sostituirci al Creatore. Siamo creature, non siamo onnipotenti. Il creato ci precede e dev</w:t>
      </w:r>
      <w:r>
        <w:rPr>
          <w:rFonts w:hAnsi="Times New Roman" w:hint="default"/>
          <w:rtl w:val="0"/>
          <w:lang w:val="fr-FR"/>
        </w:rPr>
        <w:t>’</w:t>
      </w:r>
      <w:r>
        <w:rPr>
          <w:rtl w:val="0"/>
          <w:lang w:val="it-IT"/>
        </w:rPr>
        <w:t>essere ricevuto come dono. Al tempo stesso, siamo chiamati a custodire la nostra umanit</w:t>
      </w:r>
      <w:r>
        <w:rPr>
          <w:rFonts w:hAnsi="Times New Roman" w:hint="default"/>
          <w:rtl w:val="0"/>
          <w:lang w:val="fr-FR"/>
        </w:rPr>
        <w:t>à</w:t>
      </w:r>
      <w:r>
        <w:rPr>
          <w:rtl w:val="0"/>
          <w:lang w:val="it-IT"/>
        </w:rPr>
        <w:t>, e ci</w:t>
      </w:r>
      <w:r>
        <w:rPr>
          <w:rFonts w:hAnsi="Times New Roman" w:hint="default"/>
          <w:rtl w:val="0"/>
          <w:lang w:val="it-IT"/>
        </w:rPr>
        <w:t xml:space="preserve">ò </w:t>
      </w:r>
      <w:r>
        <w:rPr>
          <w:rtl w:val="0"/>
          <w:lang w:val="it-IT"/>
        </w:rPr>
        <w:t xml:space="preserve">significa anzitutto accettarla e rispettarla come </w:t>
      </w:r>
      <w:r>
        <w:rPr>
          <w:rFonts w:hAnsi="Times New Roman" w:hint="default"/>
          <w:rtl w:val="0"/>
          <w:lang w:val="it-IT"/>
        </w:rPr>
        <w:t xml:space="preserve">è </w:t>
      </w:r>
      <w:r>
        <w:rPr>
          <w:rtl w:val="0"/>
          <w:lang w:val="it-IT"/>
        </w:rPr>
        <w:t>stata creata.</w:t>
      </w:r>
      <w:r>
        <w:rPr>
          <w:vertAlign w:val="superscript"/>
        </w:rPr>
        <w:footnoteReference w:id="3"/>
      </w:r>
      <w:r>
        <w:rPr/>
      </w:r>
    </w:p>
    <w:sectPr>
      <w:headerReference w:type="default" r:id="rId4"/>
      <w:footerReference w:type="default" r:id="rId5"/>
      <w:pgSz w:w="11900" w:h="16840" w:orient="portrait"/>
      <w:pgMar w:top="1701" w:right="1701" w:bottom="1701" w:left="1984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107"/>
        <w:tab w:val="right" w:pos="8215"/>
        <w:tab w:val="clear" w:pos="9020"/>
      </w:tabs>
      <w:jc w:val="left"/>
    </w:pPr>
    <w:r>
      <w:rPr>
        <w:rFonts w:ascii="Times New Roman"/>
      </w:rPr>
      <w:tab/>
    </w:r>
    <w:r>
      <w:rPr>
        <w:rFonts w:ascii="Times New Roman"/>
      </w:rPr>
      <w:fldChar w:fldCharType="begin" w:fldLock="0"/>
    </w:r>
    <w:r>
      <w:rPr>
        <w:rFonts w:ascii="Times New Roman"/>
      </w:rPr>
      <w:t xml:space="preserve"> PAGE </w:t>
    </w:r>
    <w:r>
      <w:rPr>
        <w:rFonts w:ascii="Times New Roman"/>
      </w:rPr>
      <w:fldChar w:fldCharType="separate" w:fldLock="0"/>
    </w:r>
    <w:r>
      <w:rPr>
        <w:rFonts w:ascii="Times New Roman"/>
      </w:rPr>
      <w:t>3</w:t>
    </w:r>
    <w:r>
      <w:rPr>
        <w:rFonts w:ascii="Times New Roman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"/>
        <w:bidi w:val="0"/>
      </w:pPr>
      <w:r>
        <w:rPr>
          <w:vertAlign w:val="superscript"/>
        </w:rPr>
        <w:footnoteRef/>
      </w:r>
      <w:r>
        <w:rPr>
          <w:rFonts w:ascii="Times New Roman" w:cs="Arial Unicode MS" w:hAnsi="Arial Unicode MS" w:eastAsia="Arial Unicode MS"/>
          <w:rtl w:val="0"/>
        </w:rPr>
        <w:t xml:space="preserve"> </w:t>
      </w:r>
      <w:r>
        <w:rPr>
          <w:rFonts w:ascii="Times New Roman" w:cs="Arial Unicode MS" w:hAnsi="Arial Unicode MS" w:eastAsia="Arial Unicode MS"/>
          <w:smallCaps w:val="1"/>
          <w:rtl w:val="0"/>
          <w:lang w:val="it-IT"/>
        </w:rPr>
        <w:t>Sinodo dei Vescovi - XIV Assemblea Generale Ordinaria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, 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it-IT"/>
        </w:rPr>
        <w:t>La vocazione e la missione della famiglia nella Chiesa e nel mondo contemporaneo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it-IT"/>
        </w:rPr>
        <w:t>. Relazione finale</w:t>
      </w:r>
      <w:r>
        <w:rPr>
          <w:rFonts w:ascii="Times New Roman" w:cs="Arial Unicode MS" w:hAnsi="Arial Unicode MS" w:eastAsia="Arial Unicode MS"/>
          <w:rtl w:val="0"/>
          <w:lang w:val="it-IT"/>
        </w:rPr>
        <w:t>, 24.10.2015, Citt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del Vaticano 2015, </w:t>
      </w:r>
      <w:r>
        <w:rPr>
          <w:rFonts w:ascii="Times New Roman" w:cs="Arial Unicode MS" w:hAnsi="Arial Unicode MS" w:eastAsia="Arial Unicode MS"/>
          <w:rtl w:val="0"/>
        </w:rPr>
        <w:t>n. 8</w:t>
      </w:r>
      <w:r>
        <w:rPr>
          <w:rFonts w:ascii="Times New Roman" w:cs="Arial Unicode MS" w:hAnsi="Arial Unicode MS" w:eastAsia="Arial Unicode MS"/>
          <w:rtl w:val="0"/>
          <w:lang w:val="it-IT"/>
        </w:rPr>
        <w:t>.</w:t>
      </w:r>
    </w:p>
  </w:footnote>
  <w:footnote w:id="2">
    <w:p>
      <w:pPr>
        <w:pStyle w:val="Footnote"/>
        <w:bidi w:val="0"/>
      </w:pPr>
      <w:r>
        <w:rPr>
          <w:vertAlign w:val="superscript"/>
        </w:rPr>
        <w:footnoteRef/>
      </w:r>
      <w:r>
        <w:rPr>
          <w:rFonts w:ascii="Times New Roman" w:cs="Arial Unicode MS" w:hAnsi="Arial Unicode MS" w:eastAsia="Arial Unicode MS"/>
          <w:rtl w:val="0"/>
        </w:rPr>
        <w:t xml:space="preserve"> 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it-IT"/>
        </w:rPr>
        <w:t>Ibid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., n. 58. </w:t>
      </w:r>
    </w:p>
  </w:footnote>
  <w:footnote w:id="3">
    <w:p>
      <w:pPr>
        <w:pStyle w:val="Footnote"/>
        <w:bidi w:val="0"/>
      </w:pPr>
      <w:r>
        <w:rPr>
          <w:vertAlign w:val="superscript"/>
        </w:rPr>
        <w:footnoteRef/>
      </w:r>
      <w:r>
        <w:rPr>
          <w:rFonts w:ascii="Times New Roman" w:cs="Arial Unicode MS" w:hAnsi="Arial Unicode MS" w:eastAsia="Arial Unicode MS"/>
          <w:rtl w:val="0"/>
        </w:rPr>
        <w:t xml:space="preserve"> </w:t>
      </w:r>
      <w:r>
        <w:rPr>
          <w:rFonts w:ascii="Times New Roman" w:cs="Arial Unicode MS" w:hAnsi="Arial Unicode MS" w:eastAsia="Arial Unicode MS"/>
          <w:smallCaps w:val="1"/>
          <w:rtl w:val="0"/>
          <w:lang w:val="it-IT"/>
        </w:rPr>
        <w:t>Francesco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, Esortazione apostolica post-sinodale 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it-IT"/>
        </w:rPr>
        <w:t>Amoris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it-IT"/>
        </w:rPr>
        <w:t>laetitia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 sull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>amore in famiglia (AL), 19 marzo 2016, Citt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del Vaticano 2016, n. 56 (enfasi nostra). 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67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itaz nel corpo">
    <w:name w:val="citaz nel corpo"/>
    <w:next w:val="citaz nel 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850" w:right="0" w:firstLine="0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