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ISSR Treviso-Vittorio V.to                                                                       a.a. 2016-2017</w:t>
      </w:r>
    </w:p>
    <w:p>
      <w:pPr>
        <w:pStyle w:val="Default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/>
          <w:b w:val="1"/>
          <w:bCs w:val="1"/>
          <w:sz w:val="32"/>
          <w:szCs w:val="32"/>
          <w:rtl w:val="0"/>
          <w:lang w:val="it-IT"/>
        </w:rPr>
        <w:t xml:space="preserve">Maschile e femminile ed educazione </w:t>
      </w:r>
      <w:r>
        <w:rPr>
          <w:rFonts w:ascii="Times New Roman"/>
          <w:b w:val="0"/>
          <w:bCs w:val="0"/>
          <w:sz w:val="32"/>
          <w:szCs w:val="32"/>
          <w:rtl w:val="0"/>
          <w:lang w:val="it-IT"/>
        </w:rPr>
        <w:t>(ISMC 10)</w:t>
      </w:r>
    </w:p>
    <w:p>
      <w:pPr>
        <w:pStyle w:val="Default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prof. don Francesco Pesce</w:t>
      </w:r>
    </w:p>
    <w:p>
      <w:pPr>
        <w:pStyle w:val="Default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Obiettivi del corso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Il corso si propone di affrontare la questione del genere e articolarla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interno della prospettiva educativa.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Contenuti e programma del corso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Identit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sessuale, identit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di genere, </w:t>
      </w:r>
      <w:r>
        <w:rPr>
          <w:rFonts w:ascii="Times New Roman"/>
          <w:i w:val="1"/>
          <w:iCs w:val="1"/>
          <w:sz w:val="24"/>
          <w:szCs w:val="24"/>
          <w:rtl w:val="0"/>
        </w:rPr>
        <w:t>gender</w:t>
      </w:r>
      <w:r>
        <w:rPr>
          <w:rFonts w:ascii="Times New Roman"/>
          <w:sz w:val="24"/>
          <w:szCs w:val="24"/>
          <w:rtl w:val="0"/>
          <w:lang w:val="it-IT"/>
        </w:rPr>
        <w:t xml:space="preserve">: quale visione di uomo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implicata da ognuno di questi termini?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Ogni essere umano si trova raggiunto da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evidenza: il suo essere femmina o maschio. Questo dato, che gli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reso visibile dal corpo, lo accompagna fin dalla nascita lungo tutta la vita; in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 xml:space="preserve">, esso pervade anche ogni suo ambito vitale. Questa evidenza corporea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considerata tale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attuale cultura, che, pur esaltando il corpo, riduce la questione del genere a scelta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individuo. Il dato corporeo, pertanto,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solo un limite che la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deve superare? Ovvero, in che modo si articola il rapporto tra la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essere umano con il fatto di nascere maschio o femmina?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In questo contesto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di stringente attualit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la questione della formazione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identit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e, di conseguenza,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accompagnamento di tale processo. Ci si chiede, pertanto, se e come si possa parlare di educazione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identit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sessuale.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Queste tematiche incrociano senza dubbio altre questioni squisitamente teologiche e antropologiche: come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attenzione al corpo permette di raggiungere una definizione adeguata di uomo? Quale il rapporto tra corporeit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e salvezza in senso cristiano? Il corpo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barriera o una via 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incontro con Cristo?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spacing w:line="360" w:lineRule="auto"/>
        <w:ind w:left="0" w:right="0" w:firstLine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page"/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Metodo e avvertenze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insegnamento del corso consiste principalmente in lezioni frontali.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Durante le lezioni verranno presi in considerazione alcuni libri pubblicati recentemente sull'educazione all'identit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genere, al fine di approfondire in maniera critica i presupposti antropologici e gli obiettivi educativi.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 partecipanti potranno, inoltre, preparare una breve presentazione di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opera d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arte (pittura, scultura</w:t>
      </w:r>
      <w:r>
        <w:rPr>
          <w:rFonts w:hAnsi="Times New Roman" w:hint="default"/>
          <w:sz w:val="24"/>
          <w:szCs w:val="24"/>
          <w:rtl w:val="0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>ma anche letteratura e poesia) che metta in luce particolari aspetti del maschile e/o del femminile e del rapporto tra loro in determinate culture o epoche storiche.</w:t>
      </w: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spacing w:line="360" w:lineRule="auto"/>
        <w:ind w:left="0" w:right="0" w:firstLine="283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Bibliografia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</w:rPr>
        <w:t>Aa.Vv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.,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Maschio e femmina li cre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it-IT"/>
        </w:rPr>
        <w:t>ò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Glossa, Milano 2008.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Cantelmi T. - Scicchitano M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.,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Educare al femminile e al maschile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Paoline, Milano 2013.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</w:rPr>
        <w:t>Fumagalli A.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La questione gender, una sfida antropologica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Queriniana, Brescia 2015.</w:t>
      </w:r>
      <w:r>
        <w:rPr>
          <w:rFonts w:hAnsi="Times New Roman" w:hint="default"/>
          <w:i w:val="0"/>
          <w:iCs w:val="0"/>
          <w:sz w:val="24"/>
          <w:szCs w:val="24"/>
          <w:rtl w:val="0"/>
        </w:rPr>
        <w:t> 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Giovanni Paolo II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, </w:t>
      </w:r>
      <w:r>
        <w:rPr>
          <w:rFonts w:ascii="Times New Roman"/>
          <w:i w:val="1"/>
          <w:iCs w:val="1"/>
          <w:sz w:val="24"/>
          <w:szCs w:val="24"/>
          <w:rtl w:val="0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amore umano nel piano divino. La redenzione del corpo e la sacramentalit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del matrimonio nelle catechesi del mercoled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i w:val="1"/>
          <w:iCs w:val="1"/>
          <w:sz w:val="24"/>
          <w:szCs w:val="24"/>
          <w:rtl w:val="0"/>
        </w:rPr>
        <w:t>(1979-1984)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a cura di G. Marengo, LEV, Citt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del Vaticano 2009.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</w:rPr>
        <w:t>O</w:t>
      </w:r>
      <w:r>
        <w:rPr>
          <w:rFonts w:hAnsi="Times New Roman" w:hint="default"/>
          <w:i w:val="0"/>
          <w:iCs w:val="0"/>
          <w:smallCap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en-US"/>
        </w:rPr>
        <w:t>Leary D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.,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Maschi o femmine? La guerra del genere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Rubettino, Soveria Mannelli 2006.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Palazzani L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.,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Sex/gender: gli equivoci dell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uguaglianza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Giappichelli, Torino 2011.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Pesce F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.,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Oltre la famiglia modello. Le catechesi di papa Francesco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 xml:space="preserve"> (Cammini di Chiesa), EDB, Bologna 2016. </w:t>
      </w:r>
      <w:r>
        <w:rPr>
          <w:rFonts w:hAnsi="Times New Roman" w:hint="default"/>
          <w:i w:val="0"/>
          <w:iCs w:val="0"/>
          <w:sz w:val="24"/>
          <w:szCs w:val="24"/>
          <w:rtl w:val="0"/>
        </w:rPr>
        <w:t>   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 xml:space="preserve">_______,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Due nessuno centomila. Genere, gender e differenza sessuale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EDB, Bologna 2017.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Scola A</w:t>
      </w:r>
      <w:r>
        <w:rPr>
          <w:rFonts w:ascii="Times New Roman"/>
          <w:i w:val="0"/>
          <w:iCs w:val="0"/>
          <w:smallCaps w:val="1"/>
          <w:sz w:val="24"/>
          <w:szCs w:val="24"/>
          <w:rtl w:val="0"/>
          <w:lang w:val="it-IT"/>
        </w:rPr>
        <w:t>.,</w:t>
      </w:r>
      <w:r>
        <w:rPr>
          <w:rFonts w:ascii="Times New Roman"/>
          <w:i w:val="1"/>
          <w:iCs w:val="1"/>
          <w:sz w:val="24"/>
          <w:szCs w:val="24"/>
          <w:rtl w:val="0"/>
        </w:rPr>
        <w:t xml:space="preserve"> 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amore tra 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uomo e la donna. Persona, famiglia e societ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/>
          <w:i w:val="0"/>
          <w:iCs w:val="0"/>
          <w:sz w:val="24"/>
          <w:szCs w:val="24"/>
          <w:rtl w:val="0"/>
          <w:lang w:val="es-ES_tradnl"/>
        </w:rPr>
        <w:t>, Centro Ambrosiano, Milano 2012.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</w:rPr>
        <w:t>─────</w:t>
      </w:r>
      <w:r>
        <w:rPr>
          <w:rFonts w:ascii="Times New Roman"/>
          <w:i w:val="0"/>
          <w:iCs w:val="0"/>
          <w:sz w:val="24"/>
          <w:szCs w:val="24"/>
          <w:rtl w:val="0"/>
        </w:rPr>
        <w:t xml:space="preserve">,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Uomo-donna. Il </w:t>
      </w:r>
      <w:r>
        <w:rPr>
          <w:rFonts w:hAnsi="Times New Roman" w:hint="default"/>
          <w:i w:val="1"/>
          <w:iCs w:val="1"/>
          <w:sz w:val="24"/>
          <w:szCs w:val="24"/>
          <w:rtl w:val="0"/>
        </w:rPr>
        <w:t>“</w:t>
      </w:r>
      <w:r>
        <w:rPr>
          <w:rFonts w:ascii="Times New Roman"/>
          <w:i w:val="1"/>
          <w:iCs w:val="1"/>
          <w:sz w:val="24"/>
          <w:szCs w:val="24"/>
          <w:rtl w:val="0"/>
          <w:lang w:val="es-ES_tradnl"/>
        </w:rPr>
        <w:t>caso serio</w:t>
      </w:r>
      <w:r>
        <w:rPr>
          <w:rFonts w:hAnsi="Times New Roman" w:hint="default"/>
          <w:i w:val="1"/>
          <w:iCs w:val="1"/>
          <w:sz w:val="24"/>
          <w:szCs w:val="24"/>
          <w:rtl w:val="0"/>
        </w:rPr>
        <w:t xml:space="preserve">”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dell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en-US"/>
        </w:rPr>
        <w:t>amore</w:t>
      </w:r>
      <w:r>
        <w:rPr>
          <w:rFonts w:ascii="Times New Roman"/>
          <w:i w:val="0"/>
          <w:iCs w:val="0"/>
          <w:sz w:val="24"/>
          <w:szCs w:val="24"/>
          <w:rtl w:val="0"/>
          <w:lang w:val="it-IT"/>
        </w:rPr>
        <w:t>, Marietti 1820, Genova 2002.</w:t>
      </w:r>
    </w:p>
    <w:p>
      <w:pPr>
        <w:pStyle w:val="Default"/>
        <w:bidi w:val="0"/>
        <w:spacing w:line="360" w:lineRule="auto"/>
        <w:ind w:left="567" w:right="0" w:hanging="567"/>
        <w:jc w:val="both"/>
        <w:rPr>
          <w:rtl w:val="0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br w:type="page"/>
      </w:r>
    </w:p>
    <w:p>
      <w:pPr>
        <w:pStyle w:val="Body"/>
        <w:spacing w:line="240" w:lineRule="auto"/>
        <w:ind w:firstLine="0"/>
        <w:jc w:val="left"/>
        <w:rPr>
          <w:rFonts w:ascii="Garamond" w:cs="Garamond" w:hAnsi="Garamond" w:eastAsia="Garamond"/>
          <w:i w:val="1"/>
          <w:iCs w:val="1"/>
          <w:sz w:val="26"/>
          <w:szCs w:val="26"/>
        </w:rPr>
      </w:pPr>
    </w:p>
    <w:p>
      <w:pPr>
        <w:pStyle w:val="Heading"/>
        <w:bidi w:val="0"/>
      </w:pPr>
      <w:r>
        <w:rPr>
          <w:rFonts w:ascii="Times New Roman" w:cs="Arial Unicode MS" w:hAnsi="Arial Unicode MS" w:eastAsia="Arial Unicode MS"/>
          <w:rtl w:val="0"/>
        </w:rPr>
        <w:t>1. I</w:t>
      </w:r>
      <w:r>
        <w:rPr>
          <w:rFonts w:ascii="Times New Roman" w:cs="Arial Unicode MS" w:hAnsi="Arial Unicode MS" w:eastAsia="Arial Unicode MS"/>
          <w:rtl w:val="0"/>
        </w:rPr>
        <w:t>ntroduzione</w:t>
      </w:r>
    </w:p>
    <w:p>
      <w:pPr>
        <w:pStyle w:val="Body"/>
        <w:ind w:firstLine="0"/>
        <w:jc w:val="left"/>
      </w:pPr>
      <w:r>
        <w:rPr>
          <w:rtl w:val="0"/>
          <w:lang w:val="it-IT"/>
        </w:rPr>
        <w:tab/>
        <w:t>U</w:t>
      </w:r>
      <w:r>
        <w:rPr>
          <w:rtl w:val="0"/>
          <w:lang w:val="it-IT"/>
        </w:rPr>
        <w:t>na nuova domanda sul genere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>Complessit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della domanda sull'uomo: l'umano in questione</w:t>
      </w:r>
      <w:r>
        <w:rPr>
          <w:rtl w:val="0"/>
          <w:lang w:val="it-IT"/>
        </w:rPr>
        <w:t xml:space="preserve">. </w:t>
      </w:r>
    </w:p>
    <w:p>
      <w:pPr>
        <w:pStyle w:val="Body"/>
        <w:ind w:firstLine="0"/>
        <w:jc w:val="left"/>
      </w:pPr>
    </w:p>
    <w:p>
      <w:pPr>
        <w:pStyle w:val="Heading"/>
        <w:bidi w:val="0"/>
      </w:pPr>
      <w:r>
        <w:rPr>
          <w:rFonts w:ascii="Times New Roman" w:cs="Arial Unicode MS" w:hAnsi="Arial Unicode MS" w:eastAsia="Arial Unicode MS"/>
          <w:rtl w:val="0"/>
        </w:rPr>
        <w:t>2. Contro la differenza sessuale?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>Sguardo storico: il femminismo e i suoi sviluppi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 xml:space="preserve">Oltre il corpo: le teorie del </w:t>
      </w:r>
      <w:r>
        <w:rPr>
          <w:rtl w:val="0"/>
          <w:lang w:val="it-IT"/>
        </w:rPr>
        <w:t>“</w:t>
      </w:r>
      <w:r>
        <w:rPr>
          <w:rtl w:val="0"/>
        </w:rPr>
        <w:t>gender</w:t>
      </w:r>
      <w:r>
        <w:rPr>
          <w:rtl w:val="0"/>
          <w:lang w:val="it-IT"/>
        </w:rPr>
        <w:t>”</w:t>
      </w:r>
    </w:p>
    <w:p>
      <w:pPr>
        <w:pStyle w:val="Body"/>
        <w:ind w:firstLine="0"/>
        <w:jc w:val="left"/>
      </w:pPr>
    </w:p>
    <w:p>
      <w:pPr>
        <w:pStyle w:val="Heading"/>
        <w:bidi w:val="0"/>
      </w:pPr>
      <w:r>
        <w:rPr>
          <w:rFonts w:ascii="Times New Roman" w:cs="Arial Unicode MS" w:hAnsi="Arial Unicode MS" w:eastAsia="Arial Unicode MS"/>
          <w:rtl w:val="0"/>
        </w:rPr>
        <w:t>3. Ripensare la differenza sessuale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>A partire dal corpo: il corpo e la libert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umana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>Un punto di partenza adeguato</w:t>
      </w:r>
      <w:r>
        <w:rPr>
          <w:rtl w:val="0"/>
          <w:lang w:val="it-IT"/>
        </w:rPr>
        <w:t xml:space="preserve">? </w:t>
      </w:r>
    </w:p>
    <w:p>
      <w:pPr>
        <w:pStyle w:val="Body"/>
        <w:ind w:firstLine="0"/>
        <w:jc w:val="left"/>
      </w:pPr>
      <w:r>
        <w:rPr>
          <w:rtl w:val="0"/>
          <w:lang w:val="it-IT"/>
        </w:rPr>
        <w:tab/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autoevidenza dell'eros e il desiderio umano</w:t>
      </w:r>
    </w:p>
    <w:p>
      <w:pPr>
        <w:pStyle w:val="Body"/>
        <w:ind w:firstLine="0"/>
      </w:pPr>
      <w:r>
        <w:tab/>
      </w:r>
      <w:r>
        <w:rPr>
          <w:rtl w:val="0"/>
          <w:lang w:val="it-IT"/>
        </w:rPr>
        <w:t>Sguardo biblico</w:t>
      </w:r>
    </w:p>
    <w:p>
      <w:pPr>
        <w:pStyle w:val="Body"/>
        <w:ind w:firstLine="0"/>
        <w:jc w:val="left"/>
      </w:pPr>
      <w:r>
        <w:tab/>
      </w:r>
      <w:r>
        <w:rPr>
          <w:rtl w:val="0"/>
        </w:rPr>
        <w:t>Identit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e differenza e </w:t>
      </w:r>
      <w:r>
        <w:rPr>
          <w:i w:val="1"/>
          <w:iCs w:val="1"/>
          <w:rtl w:val="0"/>
        </w:rPr>
        <w:t>imago</w:t>
      </w:r>
      <w:r>
        <w:rPr>
          <w:rtl w:val="0"/>
        </w:rPr>
        <w:t xml:space="preserve"> </w:t>
      </w:r>
      <w:r>
        <w:rPr>
          <w:i w:val="1"/>
          <w:iCs w:val="1"/>
          <w:rtl w:val="0"/>
        </w:rPr>
        <w:t>Dei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fr-FR"/>
        </w:rPr>
        <w:t>«</w:t>
      </w:r>
      <w:r>
        <w:rPr>
          <w:rtl w:val="0"/>
          <w:lang w:val="it-IT"/>
        </w:rPr>
        <w:t>Cristo svela l'uomo all'uomo</w:t>
      </w:r>
      <w:r>
        <w:rPr>
          <w:rtl w:val="0"/>
        </w:rPr>
        <w:t xml:space="preserve">» </w:t>
      </w:r>
      <w:r>
        <w:rPr>
          <w:rtl w:val="0"/>
          <w:lang w:val="it-IT"/>
        </w:rPr>
        <w:t>e la donna alla donna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>Differenza sessuale e amore</w:t>
      </w:r>
    </w:p>
    <w:p>
      <w:pPr>
        <w:pStyle w:val="Body"/>
        <w:ind w:firstLine="0"/>
        <w:jc w:val="left"/>
      </w:pPr>
    </w:p>
    <w:p>
      <w:pPr>
        <w:pStyle w:val="Heading"/>
        <w:bidi w:val="0"/>
      </w:pPr>
      <w:r>
        <w:rPr>
          <w:rFonts w:ascii="Times New Roman" w:cs="Arial Unicode MS" w:hAnsi="Arial Unicode MS" w:eastAsia="Arial Unicode MS"/>
          <w:rtl w:val="0"/>
        </w:rPr>
        <w:t>4. Differenza sessuale ed educazione</w:t>
      </w:r>
    </w:p>
    <w:p>
      <w:pPr>
        <w:pStyle w:val="Body"/>
        <w:ind w:firstLine="0"/>
        <w:jc w:val="left"/>
      </w:pPr>
      <w:r>
        <w:tab/>
      </w:r>
      <w:r>
        <w:rPr>
          <w:rtl w:val="0"/>
          <w:lang w:val="it-IT"/>
        </w:rPr>
        <w:t xml:space="preserve">Differenza sessuale come </w:t>
      </w:r>
      <w:r>
        <w:rPr>
          <w:rtl w:val="0"/>
          <w:lang w:val="it-IT"/>
        </w:rPr>
        <w:t>“</w:t>
      </w:r>
      <w:r>
        <w:rPr>
          <w:rtl w:val="0"/>
        </w:rPr>
        <w:t>scuola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per l'identit</w:t>
      </w:r>
      <w:r>
        <w:rPr>
          <w:rtl w:val="0"/>
          <w:lang w:val="fr-FR"/>
        </w:rPr>
        <w:t xml:space="preserve">à </w:t>
      </w:r>
      <w:r>
        <w:rPr>
          <w:rtl w:val="0"/>
          <w:lang w:val="es-ES_tradnl"/>
        </w:rPr>
        <w:t>e la libert</w:t>
      </w:r>
      <w:r>
        <w:rPr>
          <w:rtl w:val="0"/>
          <w:lang w:val="fr-FR"/>
        </w:rPr>
        <w:t>à</w:t>
      </w:r>
    </w:p>
    <w:p>
      <w:pPr>
        <w:pStyle w:val="Body"/>
        <w:ind w:firstLine="0"/>
      </w:pPr>
      <w:r>
        <w:tab/>
      </w:r>
      <w:r>
        <w:rPr>
          <w:rtl w:val="0"/>
          <w:lang w:val="it-IT"/>
        </w:rPr>
        <w:t xml:space="preserve">Lo specifico del maschile e lo specifico del femminile: a partire dalla </w:t>
      </w:r>
      <w:r>
        <w:tab/>
        <w:tab/>
      </w:r>
      <w:r>
        <w:rPr>
          <w:rtl w:val="0"/>
          <w:lang w:val="it-IT"/>
        </w:rPr>
        <w:t xml:space="preserve">differenza </w:t>
      </w:r>
    </w:p>
    <w:p>
      <w:pPr>
        <w:pStyle w:val="Body"/>
        <w:ind w:firstLine="0"/>
      </w:pPr>
      <w:r/>
    </w:p>
    <w:sectPr>
      <w:headerReference w:type="default" r:id="rId4"/>
      <w:footerReference w:type="default" r:id="rId5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107"/>
        <w:tab w:val="right" w:pos="8215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3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0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