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1343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18"/>
        <w:gridCol w:w="2119"/>
        <w:gridCol w:w="2119"/>
        <w:gridCol w:w="2120"/>
        <w:gridCol w:w="2119"/>
        <w:gridCol w:w="2119"/>
        <w:gridCol w:w="2120"/>
      </w:tblGrid>
      <w:tr>
        <w:tblPrEx>
          <w:shd w:val="clear" w:color="auto" w:fill="auto"/>
        </w:tblPrEx>
        <w:trPr>
          <w:trHeight w:val="1552" w:hRule="atLeast"/>
        </w:trPr>
        <w:tc>
          <w:tcPr>
            <w:tcW w:type="dxa" w:w="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/>
                <w:b w:val="1"/>
                <w:bCs w:val="1"/>
                <w:sz w:val="24"/>
                <w:szCs w:val="24"/>
                <w:rtl w:val="0"/>
              </w:rPr>
              <w:t>Relatio post disceptationem 2104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/>
                <w:b w:val="1"/>
                <w:bCs w:val="1"/>
                <w:sz w:val="24"/>
                <w:szCs w:val="24"/>
                <w:rtl w:val="0"/>
              </w:rPr>
              <w:t xml:space="preserve">Relatio Synodi </w:t>
            </w:r>
          </w:p>
          <w:p>
            <w:pPr>
              <w:pStyle w:val="Table Style 2"/>
              <w:jc w:val="center"/>
            </w:pPr>
            <w:r>
              <w:rPr>
                <w:rFonts w:ascii="Times New Roman"/>
                <w:b w:val="1"/>
                <w:bCs w:val="1"/>
                <w:sz w:val="24"/>
                <w:szCs w:val="24"/>
                <w:rtl w:val="0"/>
              </w:rPr>
              <w:t>2014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/>
                <w:b w:val="1"/>
                <w:bCs w:val="1"/>
                <w:sz w:val="24"/>
                <w:szCs w:val="24"/>
                <w:rtl w:val="0"/>
              </w:rPr>
              <w:t xml:space="preserve">Papa Francesco </w:t>
            </w:r>
          </w:p>
          <w:p>
            <w:pPr>
              <w:pStyle w:val="Table Style 2"/>
              <w:jc w:val="center"/>
            </w:pPr>
            <w:r>
              <w:rPr>
                <w:rFonts w:ascii="Times New Roman"/>
                <w:b w:val="1"/>
                <w:bCs w:val="1"/>
                <w:sz w:val="24"/>
                <w:szCs w:val="24"/>
                <w:rtl w:val="0"/>
              </w:rPr>
              <w:t>10.12.14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/>
                <w:b w:val="1"/>
                <w:bCs w:val="1"/>
                <w:sz w:val="24"/>
                <w:szCs w:val="24"/>
                <w:rtl w:val="0"/>
              </w:rPr>
              <w:t>Lineamenta</w:t>
            </w:r>
          </w:p>
          <w:p>
            <w:pPr>
              <w:pStyle w:val="Table Style 2"/>
              <w:jc w:val="center"/>
            </w:pPr>
            <w:r>
              <w:rPr>
                <w:rFonts w:ascii="Times New Roman"/>
                <w:b w:val="1"/>
                <w:bCs w:val="1"/>
                <w:sz w:val="24"/>
                <w:szCs w:val="24"/>
                <w:rtl w:val="0"/>
              </w:rPr>
              <w:t>2015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/>
                <w:b w:val="1"/>
                <w:bCs w:val="1"/>
                <w:sz w:val="24"/>
                <w:szCs w:val="24"/>
                <w:rtl w:val="0"/>
              </w:rPr>
              <w:t xml:space="preserve">Instrumentum laboris </w:t>
            </w:r>
          </w:p>
          <w:p>
            <w:pPr>
              <w:pStyle w:val="Table Style 2"/>
              <w:jc w:val="center"/>
            </w:pPr>
            <w:r>
              <w:rPr>
                <w:rFonts w:ascii="Times New Roman"/>
                <w:b w:val="1"/>
                <w:bCs w:val="1"/>
                <w:sz w:val="24"/>
                <w:szCs w:val="24"/>
                <w:rtl w:val="0"/>
              </w:rPr>
              <w:t>2015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/>
                <w:b w:val="1"/>
                <w:bCs w:val="1"/>
                <w:sz w:val="24"/>
                <w:szCs w:val="24"/>
                <w:rtl w:val="0"/>
              </w:rPr>
              <w:t xml:space="preserve">Relatio synodi </w:t>
            </w:r>
          </w:p>
          <w:p>
            <w:pPr>
              <w:pStyle w:val="Table Style 2"/>
              <w:jc w:val="center"/>
            </w:pPr>
            <w:r>
              <w:rPr>
                <w:rFonts w:ascii="Times New Roman"/>
                <w:b w:val="1"/>
                <w:bCs w:val="1"/>
                <w:sz w:val="24"/>
                <w:szCs w:val="24"/>
                <w:rtl w:val="0"/>
              </w:rPr>
              <w:t>2015</w:t>
            </w:r>
          </w:p>
          <w:p>
            <w:pPr>
              <w:pStyle w:val="Table Style 2"/>
              <w:jc w:val="center"/>
            </w:pPr>
          </w:p>
        </w:tc>
      </w:tr>
      <w:tr>
        <w:tblPrEx>
          <w:shd w:val="clear" w:color="auto" w:fill="auto"/>
        </w:tblPrEx>
        <w:trPr>
          <w:trHeight w:val="895" w:hRule="atLeast"/>
        </w:trPr>
        <w:tc>
          <w:tcPr>
            <w:tcW w:type="dxa" w:w="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L</w:t>
            </w:r>
            <w:r>
              <w:rPr>
                <w:rFonts w:hAnsi="Times New Roman" w:hint="default"/>
                <w:sz w:val="24"/>
                <w:szCs w:val="24"/>
                <w:rtl w:val="0"/>
              </w:rPr>
              <w:t>’</w:t>
            </w:r>
            <w:r>
              <w:rPr>
                <w:rFonts w:ascii="Times New Roman"/>
                <w:sz w:val="24"/>
                <w:szCs w:val="24"/>
                <w:rtl w:val="0"/>
              </w:rPr>
              <w:t>ascolto: il contesto e le sfide sulla famiglia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L</w:t>
            </w:r>
            <w:r>
              <w:rPr>
                <w:rFonts w:hAnsi="Times New Roman" w:hint="default"/>
                <w:sz w:val="24"/>
                <w:szCs w:val="24"/>
                <w:rtl w:val="0"/>
              </w:rPr>
              <w:t>’</w:t>
            </w:r>
            <w:r>
              <w:rPr>
                <w:rFonts w:ascii="Times New Roman"/>
                <w:sz w:val="24"/>
                <w:szCs w:val="24"/>
                <w:rtl w:val="0"/>
              </w:rPr>
              <w:t>ascolto: il contesto e le sfide sulla famiglia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Ascolto della realt</w:t>
            </w:r>
            <w:r>
              <w:rPr>
                <w:rFonts w:hAnsi="Times New Roman" w:hint="default"/>
                <w:sz w:val="24"/>
                <w:szCs w:val="24"/>
                <w:rtl w:val="0"/>
              </w:rPr>
              <w:t>à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note"/>
              <w:pBdr>
                <w:top w:val="nil"/>
                <w:left w:val="nil"/>
                <w:bottom w:val="nil"/>
                <w:right w:val="nil"/>
              </w:pBdr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/>
                <w:sz w:val="24"/>
                <w:szCs w:val="24"/>
                <w:u w:color="000000"/>
                <w:rtl w:val="0"/>
                <w:lang w:val="it-IT"/>
              </w:rPr>
              <w:t>L</w:t>
            </w:r>
            <w:r>
              <w:rPr>
                <w:rFonts w:hAnsi="Times New Roman" w:hint="default"/>
                <w:sz w:val="24"/>
                <w:szCs w:val="24"/>
                <w:u w:color="000000"/>
                <w:rtl w:val="0"/>
                <w:lang w:val="it-IT"/>
              </w:rPr>
              <w:t>’</w:t>
            </w:r>
            <w:r>
              <w:rPr>
                <w:rFonts w:ascii="Times New Roman"/>
                <w:sz w:val="24"/>
                <w:szCs w:val="24"/>
                <w:u w:color="000000"/>
                <w:rtl w:val="0"/>
                <w:lang w:val="it-IT"/>
              </w:rPr>
              <w:t>ascolto: il contesto e le sfide della famiglia</w:t>
            </w:r>
            <w:r>
              <w:rPr>
                <w:rFonts w:hAnsi="Times New Roman" w:hint="default"/>
                <w:sz w:val="24"/>
                <w:szCs w:val="24"/>
                <w:u w:color="000000"/>
                <w:rtl w:val="0"/>
                <w:lang w:val="it-IT"/>
              </w:rPr>
              <w:t>»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L</w:t>
            </w:r>
            <w:r>
              <w:rPr>
                <w:rFonts w:hAnsi="Times New Roman" w:hint="default"/>
                <w:sz w:val="24"/>
                <w:szCs w:val="24"/>
                <w:rtl w:val="0"/>
              </w:rPr>
              <w:t>’</w:t>
            </w:r>
            <w:r>
              <w:rPr>
                <w:rFonts w:ascii="Times New Roman"/>
                <w:sz w:val="24"/>
                <w:szCs w:val="24"/>
                <w:rtl w:val="0"/>
              </w:rPr>
              <w:t>ascolto delle sfide sulla famiglia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note"/>
              <w:pBdr>
                <w:top w:val="nil"/>
                <w:left w:val="nil"/>
                <w:bottom w:val="nil"/>
                <w:right w:val="nil"/>
              </w:pBdr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/>
                <w:sz w:val="24"/>
                <w:szCs w:val="24"/>
                <w:u w:color="000000"/>
                <w:rtl w:val="0"/>
                <w:lang w:val="it-IT"/>
              </w:rPr>
              <w:t>La Chiesa in ascolto della famiglia</w:t>
            </w:r>
          </w:p>
        </w:tc>
      </w:tr>
      <w:tr>
        <w:tblPrEx>
          <w:shd w:val="clear" w:color="auto" w:fill="auto"/>
        </w:tblPrEx>
        <w:trPr>
          <w:trHeight w:val="895" w:hRule="atLeast"/>
        </w:trPr>
        <w:tc>
          <w:tcPr>
            <w:tcW w:type="dxa" w:w="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II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Lo sguardo su Cristo: il Vangelo della famiglia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Lo sguardo su Cristo: il Vangelo della famiglia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Sguardo al Vangelo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note"/>
              <w:pBdr>
                <w:top w:val="nil"/>
                <w:left w:val="nil"/>
                <w:bottom w:val="nil"/>
                <w:right w:val="nil"/>
              </w:pBdr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/>
                <w:sz w:val="24"/>
                <w:szCs w:val="24"/>
                <w:u w:color="000000"/>
                <w:rtl w:val="0"/>
                <w:lang w:val="it-IT"/>
              </w:rPr>
              <w:t>Lo sguardo su Cristo: il Vangelo della famiglia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Il discernimento della vocazione familiare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note"/>
              <w:pBdr>
                <w:top w:val="nil"/>
                <w:left w:val="nil"/>
                <w:bottom w:val="nil"/>
                <w:right w:val="nil"/>
              </w:pBdr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/>
                <w:sz w:val="24"/>
                <w:szCs w:val="24"/>
                <w:u w:color="000000"/>
                <w:rtl w:val="0"/>
                <w:lang w:val="it-IT"/>
              </w:rPr>
              <w:t>La famiglia nel piano di Dio</w:t>
            </w:r>
          </w:p>
        </w:tc>
      </w:tr>
      <w:tr>
        <w:tblPrEx>
          <w:shd w:val="clear" w:color="auto" w:fill="auto"/>
        </w:tblPrEx>
        <w:trPr>
          <w:trHeight w:val="691" w:hRule="atLeast"/>
        </w:trPr>
        <w:tc>
          <w:tcPr>
            <w:tcW w:type="dxa" w:w="7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III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Il confronto: prospettive pastorali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Il confronto: le prospettive pastorali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Impegno pastorale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note"/>
              <w:pBdr>
                <w:top w:val="nil"/>
                <w:left w:val="nil"/>
                <w:bottom w:val="nil"/>
                <w:right w:val="nil"/>
              </w:pBdr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/>
                <w:sz w:val="24"/>
                <w:szCs w:val="24"/>
                <w:u w:color="000000"/>
                <w:rtl w:val="0"/>
                <w:lang w:val="it-IT"/>
              </w:rPr>
              <w:t>Il confronto: prospettive pastorali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sz w:val="24"/>
                <w:szCs w:val="24"/>
                <w:rtl w:val="0"/>
              </w:rPr>
              <w:t>La missione della famiglia oggi</w:t>
            </w:r>
          </w:p>
        </w:tc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note"/>
              <w:pBdr>
                <w:top w:val="nil"/>
                <w:left w:val="nil"/>
                <w:bottom w:val="nil"/>
                <w:right w:val="nil"/>
              </w:pBdr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/>
                <w:sz w:val="24"/>
                <w:szCs w:val="24"/>
                <w:u w:color="000000"/>
                <w:rtl w:val="0"/>
                <w:lang w:val="it-IT"/>
              </w:rPr>
              <w:t>La missione della famiglia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Times New Roman" w:cs="Arial Unicode MS" w:hAnsi="Arial Unicode MS" w:eastAsia="Arial Unicode MS"/>
          <w:rtl w:val="0"/>
          <w:lang w:val="it-IT"/>
        </w:rPr>
        <w:t>Instrumentum laboris 2014</w:t>
      </w:r>
    </w:p>
    <w:p>
      <w:pPr>
        <w:pStyle w:val="Body"/>
        <w:numPr>
          <w:ilvl w:val="0"/>
          <w:numId w:val="2"/>
        </w:numPr>
        <w:bidi w:val="0"/>
        <w:ind w:left="393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Comunicare il Vangelo della famiglia oggi</w:t>
      </w:r>
    </w:p>
    <w:p>
      <w:pPr>
        <w:pStyle w:val="Body"/>
        <w:numPr>
          <w:ilvl w:val="0"/>
          <w:numId w:val="2"/>
        </w:numPr>
        <w:bidi w:val="0"/>
        <w:ind w:left="393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La pastorale della famiglia di fronte alle nuove sfide</w:t>
      </w:r>
    </w:p>
    <w:p>
      <w:pPr>
        <w:pStyle w:val="Body"/>
        <w:numPr>
          <w:ilvl w:val="0"/>
          <w:numId w:val="2"/>
        </w:numPr>
        <w:bidi w:val="0"/>
        <w:ind w:left="393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apertura alla vita e la responsabilit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it-IT"/>
        </w:rPr>
        <w:t>educativa</w:t>
      </w:r>
    </w:p>
    <w:sectPr>
      <w:headerReference w:type="default" r:id="rId4"/>
      <w:footerReference w:type="default" r:id="rId5"/>
      <w:pgSz w:w="16840" w:h="11900" w:orient="landscape"/>
      <w:pgMar w:top="1701" w:right="1701" w:bottom="1701" w:left="1701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6719"/>
        <w:tab w:val="right" w:pos="13438"/>
        <w:tab w:val="clear" w:pos="9020"/>
      </w:tabs>
      <w:jc w:val="left"/>
    </w:pPr>
    <w:r>
      <w:rPr>
        <w:rFonts w:ascii="Times New Roman"/>
      </w:rPr>
      <w:tab/>
    </w:r>
    <w:r>
      <w:rPr>
        <w:rFonts w:ascii="Times New Roman"/>
      </w:rPr>
      <w:fldChar w:fldCharType="begin" w:fldLock="0"/>
    </w:r>
    <w:r>
      <w:rPr>
        <w:rFonts w:ascii="Times New Roman"/>
      </w:rPr>
      <w:t xml:space="preserve"> PAGE </w:t>
    </w:r>
    <w:r>
      <w:rPr>
        <w:rFonts w:ascii="Times New Roman"/>
      </w:rPr>
      <w:fldChar w:fldCharType="separate" w:fldLock="0"/>
    </w:r>
    <w:r>
      <w:rPr>
        <w:rFonts w:ascii="Times New Roman"/>
      </w:rPr>
      <w:t>1</w:t>
    </w:r>
    <w:r>
      <w:rPr>
        <w:rFonts w:ascii="Times New Roma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upperRoman"/>
      <w:suff w:val="tab"/>
      <w:lvlText w:val="%1."/>
      <w:lvlJc w:val="left"/>
      <w:pPr>
        <w:tabs>
          <w:tab w:val="num" w:pos="960"/>
          <w:tab w:val="clear" w:pos="0"/>
        </w:tabs>
        <w:ind w:left="39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num" w:pos="1320"/>
          <w:tab w:val="clear" w:pos="0"/>
        </w:tabs>
        <w:ind w:left="75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680"/>
          <w:tab w:val="clear" w:pos="0"/>
        </w:tabs>
        <w:ind w:left="111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num" w:pos="2040"/>
          <w:tab w:val="clear" w:pos="0"/>
        </w:tabs>
        <w:ind w:left="147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num" w:pos="2400"/>
          <w:tab w:val="clear" w:pos="0"/>
        </w:tabs>
        <w:ind w:left="183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num" w:pos="2760"/>
          <w:tab w:val="clear" w:pos="0"/>
        </w:tabs>
        <w:ind w:left="219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num" w:pos="3120"/>
          <w:tab w:val="clear" w:pos="0"/>
        </w:tabs>
        <w:ind w:left="255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num" w:pos="3480"/>
          <w:tab w:val="clear" w:pos="0"/>
        </w:tabs>
        <w:ind w:left="291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num" w:pos="3840"/>
          <w:tab w:val="clear" w:pos="0"/>
        </w:tabs>
        <w:ind w:left="327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1">
    <w:multiLevelType w:val="multilevel"/>
    <w:styleLink w:val="Harvard"/>
    <w:lvl w:ilvl="0">
      <w:start w:val="1"/>
      <w:numFmt w:val="upperRoman"/>
      <w:suff w:val="tab"/>
      <w:lvlText w:val="%1."/>
      <w:lvlJc w:val="left"/>
      <w:pPr>
        <w:tabs>
          <w:tab w:val="num" w:pos="960"/>
          <w:tab w:val="clear" w:pos="0"/>
        </w:tabs>
        <w:ind w:left="39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num" w:pos="1320"/>
          <w:tab w:val="clear" w:pos="0"/>
        </w:tabs>
        <w:ind w:left="75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680"/>
          <w:tab w:val="clear" w:pos="0"/>
        </w:tabs>
        <w:ind w:left="111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num" w:pos="2040"/>
          <w:tab w:val="clear" w:pos="0"/>
        </w:tabs>
        <w:ind w:left="147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num" w:pos="2400"/>
          <w:tab w:val="clear" w:pos="0"/>
        </w:tabs>
        <w:ind w:left="183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num" w:pos="2760"/>
          <w:tab w:val="clear" w:pos="0"/>
        </w:tabs>
        <w:ind w:left="219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num" w:pos="3120"/>
          <w:tab w:val="clear" w:pos="0"/>
        </w:tabs>
        <w:ind w:left="255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num" w:pos="3480"/>
          <w:tab w:val="clear" w:pos="0"/>
        </w:tabs>
        <w:ind w:left="291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num" w:pos="3840"/>
          <w:tab w:val="clear" w:pos="0"/>
        </w:tabs>
        <w:ind w:left="3273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it-IT"/>
    </w:rPr>
  </w:style>
  <w:style w:type="numbering" w:styleId="Harvard">
    <w:name w:val="Harvard"/>
    <w:next w:val="Harvar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