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otnote"/>
        <w:pBdr>
          <w:top w:val="nil"/>
          <w:left w:val="nil"/>
          <w:bottom w:val="nil"/>
          <w:right w:val="nil"/>
        </w:pBdr>
        <w:bidi w:val="0"/>
        <w:spacing w:line="360" w:lineRule="auto"/>
        <w:ind w:left="0" w:right="0" w:firstLine="0"/>
        <w:jc w:val="both"/>
        <w:rPr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Il testo dell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 xml:space="preserve">Instrumentum laboris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del 2015 riprende in modo esplicito le 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in sei numeri: </w:t>
      </w:r>
    </w:p>
    <w:p>
      <w:pPr>
        <w:pStyle w:val="Footnote"/>
        <w:numPr>
          <w:ilvl w:val="0"/>
          <w:numId w:val="3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a proposito delle teorie del 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 xml:space="preserve">gender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al n. 8: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l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a rimozione della differenza [...]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il problema, non la soluzione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X); </w:t>
      </w:r>
    </w:p>
    <w:p>
      <w:pPr>
        <w:pStyle w:val="Footnote"/>
        <w:numPr>
          <w:ilvl w:val="0"/>
          <w:numId w:val="4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n. 17: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gli anziani sono una ricchezza, non si possono ignorare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VI), </w:t>
      </w:r>
    </w:p>
    <w:p>
      <w:pPr>
        <w:pStyle w:val="Footnote"/>
        <w:numPr>
          <w:ilvl w:val="0"/>
          <w:numId w:val="5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n. 42: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legame indissolubile della storia di Cristo e della Chiesa con la storia del matrimonio e della famiglia umana</w:t>
      </w:r>
      <w:r>
        <w:rPr>
          <w:rFonts w:hAnsi="Times New Roman" w:hint="default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XIII); </w:t>
      </w:r>
    </w:p>
    <w:p>
      <w:pPr>
        <w:pStyle w:val="Footnote"/>
        <w:numPr>
          <w:ilvl w:val="0"/>
          <w:numId w:val="6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n. 43: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</w:rPr>
        <w:t xml:space="preserve">tre parole: </w:t>
      </w:r>
      <w:r>
        <w:rPr>
          <w:rFonts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permesso?</w:t>
      </w:r>
      <w:r>
        <w:rPr>
          <w:rFonts w:hAnsi="Times New Roman" w:hint="default"/>
          <w:sz w:val="24"/>
          <w:szCs w:val="24"/>
          <w:u w:color="000000"/>
          <w:rtl w:val="0"/>
        </w:rPr>
        <w:t>”</w:t>
      </w:r>
      <w:r>
        <w:rPr>
          <w:rFonts w:ascii="Times New Roman"/>
          <w:sz w:val="24"/>
          <w:szCs w:val="24"/>
          <w:u w:color="000000"/>
          <w:rtl w:val="0"/>
        </w:rPr>
        <w:t xml:space="preserve">, </w:t>
      </w:r>
      <w:r>
        <w:rPr>
          <w:rFonts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grazie</w:t>
      </w:r>
      <w:r>
        <w:rPr>
          <w:rFonts w:hAnsi="Times New Roman" w:hint="default"/>
          <w:sz w:val="24"/>
          <w:szCs w:val="24"/>
          <w:u w:color="000000"/>
          <w:rtl w:val="0"/>
        </w:rPr>
        <w:t>”</w:t>
      </w:r>
      <w:r>
        <w:rPr>
          <w:rFonts w:ascii="Times New Roman"/>
          <w:sz w:val="24"/>
          <w:szCs w:val="24"/>
          <w:u w:color="000000"/>
          <w:rtl w:val="0"/>
        </w:rPr>
        <w:t xml:space="preserve">, </w:t>
      </w:r>
      <w:r>
        <w:rPr>
          <w:rFonts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/>
          <w:sz w:val="24"/>
          <w:szCs w:val="24"/>
          <w:u w:color="000000"/>
          <w:rtl w:val="0"/>
        </w:rPr>
        <w:t>scusa</w:t>
      </w:r>
      <w:r>
        <w:rPr>
          <w:rFonts w:hAnsi="Times New Roman" w:hint="default"/>
          <w:sz w:val="24"/>
          <w:szCs w:val="24"/>
          <w:u w:color="000000"/>
          <w:rtl w:val="0"/>
        </w:rPr>
        <w:t>”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. Infatti queste parole aprono la strada per vivere bene nella famiglia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XIV); </w:t>
      </w:r>
    </w:p>
    <w:p>
      <w:pPr>
        <w:pStyle w:val="Footnote"/>
        <w:numPr>
          <w:ilvl w:val="0"/>
          <w:numId w:val="7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n. 45: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La differenza tra uomo e donna non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per la contrapposizione, o la subordinazione, ma per la comunione e la generazione, sempre ad immagine e somiglianza di Dio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X); </w:t>
      </w:r>
    </w:p>
    <w:p>
      <w:pPr>
        <w:pStyle w:val="Footnote"/>
        <w:numPr>
          <w:ilvl w:val="0"/>
          <w:numId w:val="8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n. 147: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ci impegna a riscoprire la vocazione e la missione della famiglia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I). </w:t>
      </w:r>
    </w:p>
    <w:p>
      <w:pPr>
        <w:pStyle w:val="Footnote"/>
        <w:pBdr>
          <w:top w:val="nil"/>
          <w:left w:val="nil"/>
          <w:bottom w:val="nil"/>
          <w:right w:val="nil"/>
        </w:pBdr>
        <w:bidi w:val="0"/>
        <w:spacing w:line="360" w:lineRule="auto"/>
        <w:ind w:left="0" w:right="0" w:firstLine="0"/>
        <w:jc w:val="both"/>
        <w:rPr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Quest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ultima frase costituisce le ultime parole del testo dell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Instrumentum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laboris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, le quali rinviano al tema dell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Assemblea Ordinaria del 2015, che ha trattato proprio la vocazione e missione della famiglia. </w:t>
      </w:r>
    </w:p>
    <w:p>
      <w:pPr>
        <w:pStyle w:val="Footnote"/>
        <w:pBdr>
          <w:top w:val="nil"/>
          <w:left w:val="nil"/>
          <w:bottom w:val="nil"/>
          <w:right w:val="nil"/>
        </w:pBdr>
        <w:bidi w:val="0"/>
        <w:spacing w:line="360" w:lineRule="auto"/>
        <w:ind w:left="0" w:right="0" w:firstLine="0"/>
        <w:jc w:val="both"/>
        <w:rPr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Il testo della 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Relatio finalis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del Sinodo del 2015 riporta ben 11 testi dalle catechesi, a conferma del nesso profondo tra catechesi e cammino sinodale: </w:t>
      </w:r>
    </w:p>
    <w:p>
      <w:pPr>
        <w:pStyle w:val="Footnote"/>
        <w:numPr>
          <w:ilvl w:val="0"/>
          <w:numId w:val="9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8 sulla questione del gender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X); </w:t>
      </w:r>
    </w:p>
    <w:p>
      <w:pPr>
        <w:pStyle w:val="Footnote"/>
        <w:numPr>
          <w:ilvl w:val="0"/>
          <w:numId w:val="10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17 sugli anziani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VI); n. 26 a proposito dei bambini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VIII); </w:t>
      </w:r>
    </w:p>
    <w:p>
      <w:pPr>
        <w:pStyle w:val="Footnote"/>
        <w:numPr>
          <w:ilvl w:val="0"/>
          <w:numId w:val="11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27 la donna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II); </w:t>
      </w:r>
    </w:p>
    <w:p>
      <w:pPr>
        <w:pStyle w:val="Footnote"/>
        <w:numPr>
          <w:ilvl w:val="0"/>
          <w:numId w:val="12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28 il marito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XIII); </w:t>
      </w:r>
    </w:p>
    <w:p>
      <w:pPr>
        <w:pStyle w:val="Footnote"/>
        <w:numPr>
          <w:ilvl w:val="0"/>
          <w:numId w:val="13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48 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indissolubilit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matrimoniale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XIII); </w:t>
      </w:r>
    </w:p>
    <w:p>
      <w:pPr>
        <w:pStyle w:val="Footnote"/>
        <w:numPr>
          <w:ilvl w:val="0"/>
          <w:numId w:val="14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49 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unione uomo-donna per la comunione e la generazione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X); </w:t>
      </w:r>
    </w:p>
    <w:p>
      <w:pPr>
        <w:pStyle w:val="Footnote"/>
        <w:numPr>
          <w:ilvl w:val="0"/>
          <w:numId w:val="15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50 l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essere figlio e figlia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IV); </w:t>
      </w:r>
    </w:p>
    <w:p>
      <w:pPr>
        <w:pStyle w:val="Footnote"/>
        <w:numPr>
          <w:ilvl w:val="0"/>
          <w:numId w:val="16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53 i bambini che soffrono perch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i genitori 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si fanno del male</w:t>
      </w:r>
      <w:r>
        <w:rPr>
          <w:rFonts w:hAnsi="Times New Roman" w:hint="default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XX); </w:t>
      </w:r>
    </w:p>
    <w:p>
      <w:pPr>
        <w:pStyle w:val="Footnote"/>
        <w:numPr>
          <w:ilvl w:val="0"/>
          <w:numId w:val="17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n. 54 il fallimento del matrimonio sacramento e le nuove unioni dei battezzati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XXIV); </w:t>
      </w:r>
    </w:p>
    <w:p>
      <w:pPr>
        <w:pStyle w:val="Footnote"/>
        <w:numPr>
          <w:ilvl w:val="0"/>
          <w:numId w:val="18"/>
        </w:numPr>
        <w:pBdr>
          <w:top w:val="nil"/>
          <w:left w:val="nil"/>
          <w:bottom w:val="nil"/>
          <w:right w:val="nil"/>
        </w:pBdr>
        <w:bidi w:val="0"/>
        <w:spacing w:line="360" w:lineRule="auto"/>
        <w:ind w:left="196" w:right="0" w:hanging="196"/>
        <w:jc w:val="both"/>
        <w:rPr>
          <w:position w:val="-2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>n 87 le tre parole (</w:t>
      </w: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Catechesi</w:t>
      </w: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 XIV). </w:t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44"/>
          <w:tab w:val="clear" w:pos="0"/>
        </w:tabs>
        <w:ind w:left="34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24"/>
          <w:tab w:val="clear" w:pos="0"/>
        </w:tabs>
        <w:ind w:left="52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04"/>
          <w:tab w:val="clear" w:pos="0"/>
        </w:tabs>
        <w:ind w:left="70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884"/>
          <w:tab w:val="clear" w:pos="0"/>
        </w:tabs>
        <w:ind w:left="88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64"/>
          <w:tab w:val="clear" w:pos="0"/>
        </w:tabs>
        <w:ind w:left="106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44"/>
          <w:tab w:val="clear" w:pos="0"/>
        </w:tabs>
        <w:ind w:left="124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24"/>
          <w:tab w:val="clear" w:pos="0"/>
        </w:tabs>
        <w:ind w:left="142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04"/>
          <w:tab w:val="clear" w:pos="0"/>
        </w:tabs>
        <w:ind w:left="160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4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5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6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abstractNum w:abstractNumId="17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*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*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*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*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*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*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*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*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  <w:u w:color="00000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it-IT"/>
    </w:rPr>
  </w:style>
  <w:style w:type="numbering" w:styleId="List 0">
    <w:name w:val="List 0"/>
    <w:basedOn w:val="Bullet"/>
    <w:next w:val="List 0"/>
    <w:pPr>
      <w:numPr>
        <w:numId w:val="1"/>
      </w:numPr>
    </w:pPr>
  </w:style>
  <w:style w:type="numbering" w:styleId="Bullet">
    <w:name w:val="Bullet"/>
    <w:next w:val="Bullet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