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185" w:rsidRPr="00DD4F2B" w:rsidRDefault="00F36185" w:rsidP="00DD4F2B">
      <w:pPr>
        <w:pStyle w:val="Default"/>
        <w:jc w:val="center"/>
        <w:rPr>
          <w:sz w:val="28"/>
          <w:szCs w:val="28"/>
        </w:rPr>
      </w:pPr>
      <w:r w:rsidRPr="00DD4F2B">
        <w:rPr>
          <w:sz w:val="28"/>
          <w:szCs w:val="28"/>
        </w:rPr>
        <w:t>SEMINARIO DI TEOLOGIA SISTEMATICA</w:t>
      </w:r>
    </w:p>
    <w:p w:rsidR="00F36185" w:rsidRDefault="00F36185" w:rsidP="00DD4F2B">
      <w:pPr>
        <w:pStyle w:val="Default"/>
        <w:jc w:val="both"/>
        <w:rPr>
          <w:b/>
          <w:bCs/>
          <w:sz w:val="28"/>
          <w:szCs w:val="28"/>
        </w:rPr>
      </w:pPr>
    </w:p>
    <w:p w:rsidR="00F36185" w:rsidRPr="00DD4F2B" w:rsidRDefault="00F36185" w:rsidP="00DD4F2B">
      <w:pPr>
        <w:pStyle w:val="Default"/>
        <w:jc w:val="both"/>
        <w:rPr>
          <w:sz w:val="28"/>
          <w:szCs w:val="28"/>
        </w:rPr>
      </w:pPr>
      <w:r w:rsidRPr="00DD4F2B">
        <w:rPr>
          <w:b/>
          <w:bCs/>
          <w:sz w:val="28"/>
          <w:szCs w:val="28"/>
        </w:rPr>
        <w:t xml:space="preserve">La sfida del postumanesimo. Materiali per un approccio interdisciplinare </w:t>
      </w:r>
    </w:p>
    <w:p w:rsidR="00F36185" w:rsidRPr="00DD4F2B" w:rsidRDefault="00F36185" w:rsidP="00DD4F2B">
      <w:pPr>
        <w:pStyle w:val="Default"/>
        <w:jc w:val="center"/>
        <w:rPr>
          <w:sz w:val="28"/>
          <w:szCs w:val="28"/>
        </w:rPr>
      </w:pPr>
      <w:r>
        <w:rPr>
          <w:sz w:val="28"/>
          <w:szCs w:val="28"/>
        </w:rPr>
        <w:t>(pro</w:t>
      </w:r>
      <w:r w:rsidRPr="00DD4F2B">
        <w:rPr>
          <w:sz w:val="28"/>
          <w:szCs w:val="28"/>
        </w:rPr>
        <w:t>f. don Alessandro Ravanello)</w:t>
      </w:r>
    </w:p>
    <w:p w:rsidR="00F36185" w:rsidRDefault="00F36185" w:rsidP="00DD4F2B">
      <w:pPr>
        <w:pStyle w:val="Default"/>
        <w:jc w:val="both"/>
        <w:rPr>
          <w:b/>
          <w:bCs/>
          <w:sz w:val="28"/>
          <w:szCs w:val="28"/>
        </w:rPr>
      </w:pPr>
    </w:p>
    <w:p w:rsidR="00F36185" w:rsidRPr="00403179" w:rsidRDefault="00F36185" w:rsidP="00DD4F2B">
      <w:pPr>
        <w:pStyle w:val="Default"/>
        <w:jc w:val="both"/>
        <w:rPr>
          <w:sz w:val="26"/>
          <w:szCs w:val="26"/>
        </w:rPr>
      </w:pPr>
      <w:r w:rsidRPr="00403179">
        <w:rPr>
          <w:b/>
          <w:bCs/>
          <w:sz w:val="26"/>
          <w:szCs w:val="26"/>
        </w:rPr>
        <w:t xml:space="preserve">Introduzione al seminario </w:t>
      </w:r>
    </w:p>
    <w:p w:rsidR="00F36185" w:rsidRPr="00403179" w:rsidRDefault="00F36185" w:rsidP="00DD4F2B">
      <w:pPr>
        <w:pStyle w:val="Default"/>
        <w:jc w:val="both"/>
        <w:rPr>
          <w:sz w:val="26"/>
          <w:szCs w:val="26"/>
        </w:rPr>
      </w:pPr>
      <w:r w:rsidRPr="00403179">
        <w:rPr>
          <w:sz w:val="26"/>
          <w:szCs w:val="26"/>
        </w:rPr>
        <w:t xml:space="preserve">Lo sviluppo delle tecnologie informatiche e di quelle biologiche ha dato avvio, a partire dal secondo decennio del 2000, alla cosiddetta </w:t>
      </w:r>
      <w:r w:rsidRPr="00403179">
        <w:rPr>
          <w:i/>
          <w:iCs/>
          <w:sz w:val="26"/>
          <w:szCs w:val="26"/>
        </w:rPr>
        <w:t>GNR Revolution</w:t>
      </w:r>
      <w:r w:rsidRPr="00403179">
        <w:rPr>
          <w:sz w:val="26"/>
          <w:szCs w:val="26"/>
        </w:rPr>
        <w:t>, cioè alla rivoluzione propiziata dalla convergenza tra Genetica, Nanotecnologia e Robotica (ultimamente: l’intelligenza artificiale). Attorno a queste scoperte e applicazioni, che hanno conosciuto una progressiva accelerazione (effetto Moore)</w:t>
      </w:r>
      <w:r w:rsidRPr="00403179">
        <w:rPr>
          <w:sz w:val="26"/>
          <w:szCs w:val="26"/>
          <w:vertAlign w:val="superscript"/>
        </w:rPr>
        <w:t>1</w:t>
      </w:r>
      <w:r w:rsidRPr="00403179">
        <w:rPr>
          <w:sz w:val="26"/>
          <w:szCs w:val="26"/>
        </w:rPr>
        <w:t>, si è sviluppato un fervoroso movimento intellettuale scientista e laicista che collega queste scoperte ed applicazioni tecnologiche alla domanda di potenziamento (</w:t>
      </w:r>
      <w:r w:rsidRPr="00403179">
        <w:rPr>
          <w:i/>
          <w:iCs/>
          <w:sz w:val="26"/>
          <w:szCs w:val="26"/>
        </w:rPr>
        <w:t>human enhacement</w:t>
      </w:r>
      <w:r w:rsidRPr="00403179">
        <w:rPr>
          <w:sz w:val="26"/>
          <w:szCs w:val="26"/>
        </w:rPr>
        <w:t xml:space="preserve">) delle facoltà umane (vista, memoria, resistenza fisica…). </w:t>
      </w:r>
    </w:p>
    <w:p w:rsidR="00F36185" w:rsidRPr="00403179" w:rsidRDefault="00F36185" w:rsidP="00DD4F2B">
      <w:pPr>
        <w:pStyle w:val="Default"/>
        <w:jc w:val="both"/>
        <w:rPr>
          <w:sz w:val="26"/>
          <w:szCs w:val="26"/>
        </w:rPr>
      </w:pPr>
      <w:r w:rsidRPr="00403179">
        <w:rPr>
          <w:sz w:val="26"/>
          <w:szCs w:val="26"/>
        </w:rPr>
        <w:t>Secondo il filosofo inglese Nick Bostrom</w:t>
      </w:r>
      <w:r w:rsidRPr="00403179">
        <w:rPr>
          <w:sz w:val="26"/>
          <w:szCs w:val="26"/>
          <w:vertAlign w:val="superscript"/>
        </w:rPr>
        <w:t>2</w:t>
      </w:r>
      <w:r w:rsidRPr="00403179">
        <w:rPr>
          <w:sz w:val="26"/>
          <w:szCs w:val="26"/>
        </w:rPr>
        <w:t xml:space="preserve">, si usa il termine </w:t>
      </w:r>
      <w:r w:rsidRPr="00403179">
        <w:rPr>
          <w:i/>
          <w:iCs/>
          <w:sz w:val="26"/>
          <w:szCs w:val="26"/>
        </w:rPr>
        <w:t xml:space="preserve">postumanesimo </w:t>
      </w:r>
      <w:r w:rsidRPr="00403179">
        <w:rPr>
          <w:sz w:val="26"/>
          <w:szCs w:val="26"/>
        </w:rPr>
        <w:t xml:space="preserve">per indicare la condizione inedita dell’uomo che verrà, dotato di capacità fisiche e cognitive superiori a quelle attuali grazie al potenziamento delle macchine, liberato dalle malattie e forse anche dalla morte. Il postumano è l’umano completamente ingegnerizzato e capace non solo di manipolare la vita, ma di produrla. Il termine </w:t>
      </w:r>
      <w:r w:rsidRPr="00403179">
        <w:rPr>
          <w:i/>
          <w:iCs/>
          <w:sz w:val="26"/>
          <w:szCs w:val="26"/>
        </w:rPr>
        <w:t>transumanesimo</w:t>
      </w:r>
      <w:r w:rsidRPr="00403179">
        <w:rPr>
          <w:sz w:val="26"/>
          <w:szCs w:val="26"/>
        </w:rPr>
        <w:t xml:space="preserve">, invece, sempre secondo Bostrom, è quel pensiero che si preoccupa di eliminare gli ostacoli che rallentano il passaggio dall’umanesimo al postumanesimo. I trasumanisti sono coloro che attivamente si preparano a diventare postumani, quindi infinitamente potenziati ed impegnati nel progressivo autotrascendimento dalla condizione umana. </w:t>
      </w:r>
    </w:p>
    <w:p w:rsidR="00F36185" w:rsidRDefault="00F36185" w:rsidP="00DD4F2B">
      <w:pPr>
        <w:pStyle w:val="Default"/>
        <w:jc w:val="both"/>
        <w:rPr>
          <w:sz w:val="26"/>
          <w:szCs w:val="26"/>
        </w:rPr>
      </w:pPr>
      <w:r w:rsidRPr="00403179">
        <w:rPr>
          <w:sz w:val="26"/>
          <w:szCs w:val="26"/>
        </w:rPr>
        <w:t>Ovviamente tutto questo ha da tempo attirato enormi interessi economici e l’opinione pubblica è invitata a familiarizzarsi sempre di più con questo orientamento in modo quasi del tutto acritico. La legittimazione culturale e la retorica transumanista da tempo si alimentano (ed alimentano a loro volta) attraverso la cultura di massa</w:t>
      </w:r>
      <w:r w:rsidRPr="00403179">
        <w:rPr>
          <w:sz w:val="26"/>
          <w:szCs w:val="26"/>
          <w:vertAlign w:val="superscript"/>
        </w:rPr>
        <w:t>3</w:t>
      </w:r>
      <w:r w:rsidRPr="00403179">
        <w:rPr>
          <w:sz w:val="26"/>
          <w:szCs w:val="26"/>
        </w:rPr>
        <w:t xml:space="preserve"> e l’incremento del consumo di prodotti tecnologici</w:t>
      </w:r>
      <w:r w:rsidRPr="00403179">
        <w:rPr>
          <w:sz w:val="26"/>
          <w:szCs w:val="26"/>
          <w:vertAlign w:val="superscript"/>
        </w:rPr>
        <w:t>4</w:t>
      </w:r>
      <w:r w:rsidRPr="00403179">
        <w:rPr>
          <w:sz w:val="26"/>
          <w:szCs w:val="26"/>
        </w:rPr>
        <w:t>.</w:t>
      </w:r>
    </w:p>
    <w:p w:rsidR="00F36185" w:rsidRPr="00403179" w:rsidRDefault="00F36185" w:rsidP="00403179">
      <w:pPr>
        <w:pStyle w:val="Default"/>
        <w:jc w:val="both"/>
        <w:rPr>
          <w:sz w:val="26"/>
          <w:szCs w:val="26"/>
        </w:rPr>
      </w:pPr>
      <w:r w:rsidRPr="00403179">
        <w:rPr>
          <w:sz w:val="26"/>
          <w:szCs w:val="26"/>
        </w:rPr>
        <w:t xml:space="preserve">Questo corposo apparato di </w:t>
      </w:r>
      <w:r w:rsidRPr="00403179">
        <w:rPr>
          <w:i/>
          <w:iCs/>
          <w:sz w:val="26"/>
          <w:szCs w:val="26"/>
        </w:rPr>
        <w:t>story-telling</w:t>
      </w:r>
      <w:r w:rsidRPr="00403179">
        <w:rPr>
          <w:sz w:val="26"/>
          <w:szCs w:val="26"/>
        </w:rPr>
        <w:t xml:space="preserve">, al di là delle singole narrazioni, è accumunato dallo stesso tema: l’interazione uomo-macchina e la trasformazione della macchina umana in una macchina “potenziata”. Perché occuparsi di questi temi dal punto di vista fondamentale e sistematico? </w:t>
      </w:r>
    </w:p>
    <w:p w:rsidR="00F36185" w:rsidRPr="00403179" w:rsidRDefault="00F36185" w:rsidP="00DD4F2B">
      <w:pPr>
        <w:pStyle w:val="Default"/>
        <w:jc w:val="both"/>
        <w:rPr>
          <w:sz w:val="26"/>
          <w:szCs w:val="26"/>
        </w:rPr>
      </w:pPr>
    </w:p>
    <w:p w:rsidR="00F36185" w:rsidRPr="00403179" w:rsidRDefault="00F36185" w:rsidP="00403179">
      <w:pPr>
        <w:pStyle w:val="Default"/>
        <w:jc w:val="both"/>
        <w:rPr>
          <w:sz w:val="22"/>
          <w:szCs w:val="26"/>
          <w:lang w:val="en-GB"/>
        </w:rPr>
      </w:pPr>
      <w:r w:rsidRPr="00403179">
        <w:rPr>
          <w:sz w:val="22"/>
          <w:szCs w:val="26"/>
        </w:rPr>
        <w:t xml:space="preserve">1 Ad esempio, il Progetto Genoma impiegò tredici anni a sequenziare un intero Dna e fu considerato all’epoca della sua progettazione (1990) un’impresa incredibile. Nel 2008 la stessa operazione sul genoma di James Watson, il Nobel della doppia elica, ha richiesto solo quattro mesi. Oggi ogni nascituro tecnicamente potrebbe essere dotato di un chip con il proprio codice genetico completo. </w:t>
      </w:r>
      <w:r w:rsidRPr="00403179">
        <w:rPr>
          <w:sz w:val="22"/>
          <w:szCs w:val="26"/>
          <w:lang w:val="en-GB"/>
        </w:rPr>
        <w:t xml:space="preserve">Le questioni etiche che queste tecnologie pongono sono radicali. </w:t>
      </w:r>
    </w:p>
    <w:p w:rsidR="00F36185" w:rsidRPr="00403179" w:rsidRDefault="00F36185" w:rsidP="00403179">
      <w:pPr>
        <w:pStyle w:val="Default"/>
        <w:jc w:val="both"/>
        <w:rPr>
          <w:sz w:val="22"/>
          <w:szCs w:val="26"/>
          <w:lang w:val="en-GB"/>
        </w:rPr>
      </w:pPr>
      <w:r w:rsidRPr="00403179">
        <w:rPr>
          <w:sz w:val="22"/>
          <w:szCs w:val="26"/>
          <w:lang w:val="en-GB"/>
        </w:rPr>
        <w:t xml:space="preserve">2 Cf. </w:t>
      </w:r>
      <w:smartTag w:uri="urn:schemas-microsoft-com:office:smarttags" w:element="place">
        <w:r w:rsidRPr="00403179">
          <w:rPr>
            <w:sz w:val="22"/>
            <w:szCs w:val="26"/>
            <w:lang w:val="en-GB"/>
          </w:rPr>
          <w:t xml:space="preserve">N. </w:t>
        </w:r>
        <w:r w:rsidRPr="00403179">
          <w:rPr>
            <w:smallCaps/>
            <w:color w:val="auto"/>
            <w:sz w:val="22"/>
            <w:szCs w:val="26"/>
            <w:lang w:val="en-GB" w:eastAsia="en-US"/>
          </w:rPr>
          <w:t>Bostrom</w:t>
        </w:r>
      </w:smartTag>
      <w:r w:rsidRPr="00403179">
        <w:rPr>
          <w:sz w:val="22"/>
          <w:szCs w:val="26"/>
          <w:lang w:val="en-GB"/>
        </w:rPr>
        <w:t xml:space="preserve">, </w:t>
      </w:r>
      <w:r w:rsidRPr="00403179">
        <w:rPr>
          <w:i/>
          <w:iCs/>
          <w:sz w:val="22"/>
          <w:szCs w:val="26"/>
          <w:lang w:val="en-GB"/>
        </w:rPr>
        <w:t>A History of Transhumanist Thought, in Journal of Evolution and Technology</w:t>
      </w:r>
      <w:r w:rsidRPr="00403179">
        <w:rPr>
          <w:sz w:val="22"/>
          <w:szCs w:val="26"/>
          <w:lang w:val="en-GB"/>
        </w:rPr>
        <w:t xml:space="preserve">», 14 (2005a), 1-25. </w:t>
      </w:r>
    </w:p>
    <w:p w:rsidR="00F36185" w:rsidRPr="00403179" w:rsidRDefault="00F36185" w:rsidP="00403179">
      <w:pPr>
        <w:pStyle w:val="Default"/>
        <w:jc w:val="both"/>
        <w:rPr>
          <w:sz w:val="22"/>
          <w:szCs w:val="26"/>
        </w:rPr>
      </w:pPr>
      <w:r w:rsidRPr="00403179">
        <w:rPr>
          <w:sz w:val="22"/>
          <w:szCs w:val="26"/>
        </w:rPr>
        <w:t xml:space="preserve">3 Solo a titolo di esempio, si comincia con </w:t>
      </w:r>
      <w:r w:rsidRPr="00403179">
        <w:rPr>
          <w:i/>
          <w:iCs/>
          <w:sz w:val="22"/>
          <w:szCs w:val="26"/>
        </w:rPr>
        <w:t xml:space="preserve">Blade Runner </w:t>
      </w:r>
      <w:r w:rsidRPr="00403179">
        <w:rPr>
          <w:sz w:val="22"/>
          <w:szCs w:val="26"/>
        </w:rPr>
        <w:t xml:space="preserve">(1982) e si prosegue con le saghe cinematografiche di </w:t>
      </w:r>
      <w:r w:rsidRPr="00403179">
        <w:rPr>
          <w:i/>
          <w:iCs/>
          <w:sz w:val="22"/>
          <w:szCs w:val="26"/>
        </w:rPr>
        <w:t xml:space="preserve">Terminator </w:t>
      </w:r>
      <w:r w:rsidRPr="00403179">
        <w:rPr>
          <w:sz w:val="22"/>
          <w:szCs w:val="26"/>
        </w:rPr>
        <w:t xml:space="preserve">(1984), </w:t>
      </w:r>
      <w:r w:rsidRPr="00403179">
        <w:rPr>
          <w:i/>
          <w:iCs/>
          <w:sz w:val="22"/>
          <w:szCs w:val="26"/>
        </w:rPr>
        <w:t xml:space="preserve">Matrix </w:t>
      </w:r>
      <w:r w:rsidRPr="00403179">
        <w:rPr>
          <w:sz w:val="22"/>
          <w:szCs w:val="26"/>
        </w:rPr>
        <w:t xml:space="preserve">(1999), </w:t>
      </w:r>
      <w:r w:rsidRPr="00403179">
        <w:rPr>
          <w:i/>
          <w:iCs/>
          <w:sz w:val="22"/>
          <w:szCs w:val="26"/>
        </w:rPr>
        <w:t xml:space="preserve">Iron Man </w:t>
      </w:r>
      <w:r w:rsidRPr="00403179">
        <w:rPr>
          <w:sz w:val="22"/>
          <w:szCs w:val="26"/>
        </w:rPr>
        <w:t xml:space="preserve">(2008). Oltre a film per il grande pubblico come </w:t>
      </w:r>
      <w:r w:rsidRPr="00403179">
        <w:rPr>
          <w:i/>
          <w:iCs/>
          <w:sz w:val="22"/>
          <w:szCs w:val="26"/>
        </w:rPr>
        <w:t xml:space="preserve">Avatar </w:t>
      </w:r>
      <w:r w:rsidRPr="00403179">
        <w:rPr>
          <w:sz w:val="22"/>
          <w:szCs w:val="26"/>
        </w:rPr>
        <w:t xml:space="preserve">(2009), vi sono moltissime altre pellicole ‘minori’ come </w:t>
      </w:r>
      <w:r w:rsidRPr="00403179">
        <w:rPr>
          <w:i/>
          <w:iCs/>
          <w:sz w:val="22"/>
          <w:szCs w:val="26"/>
        </w:rPr>
        <w:t xml:space="preserve">Io,robot </w:t>
      </w:r>
      <w:r w:rsidRPr="00403179">
        <w:rPr>
          <w:sz w:val="22"/>
          <w:szCs w:val="26"/>
        </w:rPr>
        <w:t xml:space="preserve">(2004), </w:t>
      </w:r>
      <w:r w:rsidRPr="00403179">
        <w:rPr>
          <w:i/>
          <w:iCs/>
          <w:sz w:val="22"/>
          <w:szCs w:val="26"/>
        </w:rPr>
        <w:t xml:space="preserve">Source code </w:t>
      </w:r>
      <w:r w:rsidRPr="00403179">
        <w:rPr>
          <w:sz w:val="22"/>
          <w:szCs w:val="26"/>
        </w:rPr>
        <w:t xml:space="preserve">(2011), </w:t>
      </w:r>
      <w:r w:rsidRPr="00403179">
        <w:rPr>
          <w:i/>
          <w:iCs/>
          <w:sz w:val="22"/>
          <w:szCs w:val="26"/>
        </w:rPr>
        <w:t xml:space="preserve">Ex-machina </w:t>
      </w:r>
      <w:r w:rsidRPr="00403179">
        <w:rPr>
          <w:sz w:val="22"/>
          <w:szCs w:val="26"/>
        </w:rPr>
        <w:t xml:space="preserve">(2014), </w:t>
      </w:r>
      <w:r w:rsidRPr="00403179">
        <w:rPr>
          <w:i/>
          <w:iCs/>
          <w:sz w:val="22"/>
          <w:szCs w:val="26"/>
        </w:rPr>
        <w:t xml:space="preserve">Elysium </w:t>
      </w:r>
      <w:r w:rsidRPr="00403179">
        <w:rPr>
          <w:sz w:val="22"/>
          <w:szCs w:val="26"/>
        </w:rPr>
        <w:t xml:space="preserve">(2013), </w:t>
      </w:r>
      <w:r w:rsidRPr="00403179">
        <w:rPr>
          <w:i/>
          <w:iCs/>
          <w:sz w:val="22"/>
          <w:szCs w:val="26"/>
        </w:rPr>
        <w:t xml:space="preserve">Lucy </w:t>
      </w:r>
      <w:r w:rsidRPr="00403179">
        <w:rPr>
          <w:sz w:val="22"/>
          <w:szCs w:val="26"/>
        </w:rPr>
        <w:t xml:space="preserve">(2014), </w:t>
      </w:r>
      <w:r w:rsidRPr="00403179">
        <w:rPr>
          <w:i/>
          <w:iCs/>
          <w:sz w:val="22"/>
          <w:szCs w:val="26"/>
        </w:rPr>
        <w:t xml:space="preserve">Transcendence </w:t>
      </w:r>
      <w:r w:rsidRPr="00403179">
        <w:rPr>
          <w:sz w:val="22"/>
          <w:szCs w:val="26"/>
        </w:rPr>
        <w:t xml:space="preserve">(2014) che insistono sul tema. </w:t>
      </w:r>
    </w:p>
    <w:p w:rsidR="00F36185" w:rsidRPr="00403179" w:rsidRDefault="00F36185" w:rsidP="00403179">
      <w:pPr>
        <w:pStyle w:val="Default"/>
        <w:jc w:val="both"/>
        <w:rPr>
          <w:sz w:val="22"/>
          <w:szCs w:val="26"/>
        </w:rPr>
      </w:pPr>
      <w:r w:rsidRPr="00403179">
        <w:rPr>
          <w:sz w:val="22"/>
          <w:szCs w:val="26"/>
        </w:rPr>
        <w:t xml:space="preserve">4 I dati sul mercato dei robot domestici, sul boom degli </w:t>
      </w:r>
      <w:r w:rsidRPr="00403179">
        <w:rPr>
          <w:i/>
          <w:iCs/>
          <w:sz w:val="22"/>
          <w:szCs w:val="26"/>
        </w:rPr>
        <w:t xml:space="preserve">smartphones </w:t>
      </w:r>
      <w:r w:rsidRPr="00403179">
        <w:rPr>
          <w:sz w:val="22"/>
          <w:szCs w:val="26"/>
        </w:rPr>
        <w:t xml:space="preserve">e </w:t>
      </w:r>
      <w:r w:rsidRPr="00403179">
        <w:rPr>
          <w:i/>
          <w:iCs/>
          <w:sz w:val="22"/>
          <w:szCs w:val="26"/>
        </w:rPr>
        <w:t xml:space="preserve">smartwatches </w:t>
      </w:r>
      <w:r w:rsidRPr="00403179">
        <w:rPr>
          <w:sz w:val="22"/>
          <w:szCs w:val="26"/>
        </w:rPr>
        <w:t>fino ai più recenti assistenti vocali (Siri, Alexa, Google, Echo) e AirPods di Apple sono impressionanti per il numero di vendite. Nel 2018 gli acquisti di articoli di elettronica hanno registrato un + 91,4% rispetto alla media annua, posizionandosi davanti all’acquisto per l’abbigliamento (+ 67,3%) e gli articoli per bambini con un +51,3%. È la fotografia di una società di adulti che consuma più di quanto generi vita.</w:t>
      </w:r>
    </w:p>
    <w:p w:rsidR="00F36185" w:rsidRPr="00403179" w:rsidRDefault="00F36185" w:rsidP="00DD4F2B">
      <w:pPr>
        <w:pStyle w:val="Default"/>
        <w:jc w:val="both"/>
        <w:rPr>
          <w:sz w:val="26"/>
          <w:szCs w:val="26"/>
        </w:rPr>
      </w:pPr>
      <w:r w:rsidRPr="00403179">
        <w:rPr>
          <w:sz w:val="26"/>
          <w:szCs w:val="26"/>
        </w:rPr>
        <w:t xml:space="preserve">La sfida postumanista è una sfida essenzialmente </w:t>
      </w:r>
      <w:r w:rsidRPr="00403179">
        <w:rPr>
          <w:i/>
          <w:iCs/>
          <w:sz w:val="26"/>
          <w:szCs w:val="26"/>
        </w:rPr>
        <w:t xml:space="preserve">antropologica </w:t>
      </w:r>
      <w:r w:rsidRPr="00403179">
        <w:rPr>
          <w:sz w:val="26"/>
          <w:szCs w:val="26"/>
        </w:rPr>
        <w:t xml:space="preserve">perché si fonda sul rifiuto della fragilità, del limite e della finitudine come dimensioni strutturali della condizione umana. La riflessione filosofica continentale del secondo Novecento, soprattutto M. Heidegger, ha dedicato una particolare attenzione al fatto della morte come cifra della condizione umana (l’uomo come essere-per-la-morte). Ponendosi agli antipodi rispetto a questa idea, il movimento transumanista spinge per orientare le coscienze a rifiutare questa prospettiva e a orientarle (più o meno serenamente) verso l’ibridazione con le macchine, presentato come un destino inevitabile: </w:t>
      </w:r>
    </w:p>
    <w:p w:rsidR="00F36185" w:rsidRPr="00403179" w:rsidRDefault="00F36185" w:rsidP="00DD4F2B">
      <w:pPr>
        <w:pStyle w:val="Default"/>
        <w:jc w:val="both"/>
        <w:rPr>
          <w:sz w:val="26"/>
          <w:szCs w:val="26"/>
        </w:rPr>
      </w:pPr>
      <w:r w:rsidRPr="00403179">
        <w:rPr>
          <w:sz w:val="26"/>
          <w:szCs w:val="26"/>
        </w:rPr>
        <w:t xml:space="preserve">Max More [1994] afferma esplicitamente che ciò che esprime l’essenza dell’uomo non è affatto il limite, bensì la capacità di superare </w:t>
      </w:r>
      <w:r w:rsidRPr="00403179">
        <w:rPr>
          <w:i/>
          <w:iCs/>
          <w:sz w:val="26"/>
          <w:szCs w:val="26"/>
        </w:rPr>
        <w:t xml:space="preserve">ogni </w:t>
      </w:r>
      <w:r w:rsidRPr="00403179">
        <w:rPr>
          <w:sz w:val="26"/>
          <w:szCs w:val="26"/>
        </w:rPr>
        <w:t>limite naturale. Questo è possibile nella misura in cui si assume quale punto di partenza del ragionamento un concetto estremamente plastico di natura umana, la quale diviene oggetto di manipolazione e di trasformazione tecnica sino al punto di rottura (antropologica). (…) Il post-umano, esito ultimo di questo processo di autotrascendimento operato attraverso la modificazione tecnica del nostro corpo biologico, si configura pertanto come lo sforzo di rimuovere in modo sistematico tutte le limitazioni e le fragilità che caratterizzano l’uomo d’oggi e come l’accesso ad una nuova dimensione della vita intelligente. Centrare questi obiettivi perfezionando se stessi equivale a conquistare l’autentica felicità: questa è la grande promessa postumanista</w:t>
      </w:r>
      <w:r w:rsidRPr="00403179">
        <w:rPr>
          <w:sz w:val="26"/>
          <w:szCs w:val="26"/>
          <w:vertAlign w:val="superscript"/>
        </w:rPr>
        <w:t>5</w:t>
      </w:r>
      <w:r w:rsidRPr="00403179">
        <w:rPr>
          <w:sz w:val="26"/>
          <w:szCs w:val="26"/>
        </w:rPr>
        <w:t xml:space="preserve">. </w:t>
      </w:r>
    </w:p>
    <w:p w:rsidR="00F36185" w:rsidRDefault="00F36185" w:rsidP="00DD4F2B">
      <w:pPr>
        <w:pStyle w:val="Default"/>
        <w:jc w:val="both"/>
        <w:rPr>
          <w:sz w:val="26"/>
          <w:szCs w:val="26"/>
        </w:rPr>
      </w:pPr>
      <w:r w:rsidRPr="00403179">
        <w:rPr>
          <w:sz w:val="26"/>
          <w:szCs w:val="26"/>
        </w:rPr>
        <w:t xml:space="preserve">Rispetto all’immaginario del </w:t>
      </w:r>
      <w:r w:rsidRPr="00403179">
        <w:rPr>
          <w:i/>
          <w:iCs/>
          <w:sz w:val="26"/>
          <w:szCs w:val="26"/>
        </w:rPr>
        <w:t xml:space="preserve">scientific romance </w:t>
      </w:r>
      <w:r w:rsidRPr="00403179">
        <w:rPr>
          <w:sz w:val="26"/>
          <w:szCs w:val="26"/>
        </w:rPr>
        <w:t xml:space="preserve">del primo Novecento, il cui esponente di spicco fu Jules Verne (1828-1905), l’immaginario postumanista può avvalersi di un inedito apparato tecno-scientifico, in grado di rendere possibile ciò che in passato non era nemmeno immaginabile. Il combinato disposto tra ricerca scientifica sperimentale e le sue applicazioni tecnologiche, abbinate all’utilizzo di nuovi materiali, apre scenari futuristici. Concretamente nel 2021 </w:t>
      </w:r>
      <w:r>
        <w:rPr>
          <w:sz w:val="26"/>
          <w:szCs w:val="26"/>
        </w:rPr>
        <w:t>è stato</w:t>
      </w:r>
      <w:r w:rsidRPr="00403179">
        <w:rPr>
          <w:sz w:val="26"/>
          <w:szCs w:val="26"/>
        </w:rPr>
        <w:t xml:space="preserve"> possibile caricare i contenuti del proprio cervello in un computer; nel 2023 la capacità di calcolo dei computer </w:t>
      </w:r>
      <w:r>
        <w:rPr>
          <w:sz w:val="26"/>
          <w:szCs w:val="26"/>
        </w:rPr>
        <w:t xml:space="preserve">ha </w:t>
      </w:r>
      <w:r w:rsidRPr="00403179">
        <w:rPr>
          <w:sz w:val="26"/>
          <w:szCs w:val="26"/>
        </w:rPr>
        <w:t>eguagli</w:t>
      </w:r>
      <w:r>
        <w:rPr>
          <w:sz w:val="26"/>
          <w:szCs w:val="26"/>
        </w:rPr>
        <w:t>ato</w:t>
      </w:r>
      <w:r w:rsidRPr="00403179">
        <w:rPr>
          <w:sz w:val="26"/>
          <w:szCs w:val="26"/>
        </w:rPr>
        <w:t xml:space="preserve"> quella del cervello umano; </w:t>
      </w:r>
      <w:r>
        <w:rPr>
          <w:sz w:val="26"/>
          <w:szCs w:val="26"/>
        </w:rPr>
        <w:t>da</w:t>
      </w:r>
      <w:r w:rsidRPr="00403179">
        <w:rPr>
          <w:sz w:val="26"/>
          <w:szCs w:val="26"/>
        </w:rPr>
        <w:t xml:space="preserve">l 2025 la terapia genetica </w:t>
      </w:r>
      <w:r>
        <w:rPr>
          <w:sz w:val="26"/>
          <w:szCs w:val="26"/>
        </w:rPr>
        <w:t>è</w:t>
      </w:r>
      <w:r w:rsidRPr="00403179">
        <w:rPr>
          <w:sz w:val="26"/>
          <w:szCs w:val="26"/>
        </w:rPr>
        <w:t xml:space="preserve"> in grado di rigenerare completamente alcuni organi, tra cui il cuore e «gli umanoidi affiancano gli esseri umani nella gestione delle case, nell’assistenza agli anziani, nei lavori pesanti e pericolosi»</w:t>
      </w:r>
      <w:r w:rsidRPr="00403179">
        <w:rPr>
          <w:sz w:val="26"/>
          <w:szCs w:val="26"/>
          <w:vertAlign w:val="superscript"/>
        </w:rPr>
        <w:t>6</w:t>
      </w:r>
      <w:r>
        <w:rPr>
          <w:sz w:val="26"/>
          <w:szCs w:val="26"/>
        </w:rPr>
        <w:t>.</w:t>
      </w:r>
    </w:p>
    <w:p w:rsidR="00F36185" w:rsidRDefault="00F36185" w:rsidP="00DD4F2B">
      <w:pPr>
        <w:pStyle w:val="Default"/>
        <w:jc w:val="both"/>
        <w:rPr>
          <w:sz w:val="26"/>
          <w:szCs w:val="26"/>
        </w:rPr>
      </w:pPr>
      <w:r w:rsidRPr="00403179">
        <w:rPr>
          <w:sz w:val="26"/>
          <w:szCs w:val="26"/>
        </w:rPr>
        <w:t xml:space="preserve">L’enciclica </w:t>
      </w:r>
      <w:r w:rsidRPr="00403179">
        <w:rPr>
          <w:i/>
          <w:iCs/>
          <w:sz w:val="26"/>
          <w:szCs w:val="26"/>
        </w:rPr>
        <w:t xml:space="preserve">Laudato Sì </w:t>
      </w:r>
      <w:r w:rsidRPr="00403179">
        <w:rPr>
          <w:sz w:val="26"/>
          <w:szCs w:val="26"/>
        </w:rPr>
        <w:t>(2015) ha messo in guardia di fronte al «tremendo potere» che la tecnoscienza mette in mano agli uomini, non senza preoccupazione: «Mai l’umanità ha avuto tanto potere su sé stessa e niente garantisce che lo utilizzerà bene, soprattutto se si considera il modo in cui se ne sta servendo» (LS 104). Da qui l’appello a costruire un’«ecologia integrale» a difesa della casa comune, che richiede a sua volta «la capacità di concepire, disegnare e realizzare, sistemi di rappresentazione della religione cristiana capace di entrare in profondità con sistemi culturali diversi» (</w:t>
      </w:r>
      <w:r w:rsidRPr="00403179">
        <w:rPr>
          <w:i/>
          <w:iCs/>
          <w:sz w:val="26"/>
          <w:szCs w:val="26"/>
        </w:rPr>
        <w:t>Veritatis Gaudium</w:t>
      </w:r>
      <w:r w:rsidRPr="00403179">
        <w:rPr>
          <w:sz w:val="26"/>
          <w:szCs w:val="26"/>
        </w:rPr>
        <w:t xml:space="preserve">, 5). La riflessione teologica è interpellata da questa radicale sfida antropologica perché quando è in gioco l’umano è inevitabilmente in gioco anche il divino. Il concetto che viene radicalmente decostruito dalla filosofia dello </w:t>
      </w:r>
      <w:r w:rsidRPr="00403179">
        <w:rPr>
          <w:i/>
          <w:iCs/>
          <w:sz w:val="26"/>
          <w:szCs w:val="26"/>
        </w:rPr>
        <w:t xml:space="preserve">human enhacement </w:t>
      </w:r>
      <w:r w:rsidRPr="00403179">
        <w:rPr>
          <w:sz w:val="26"/>
          <w:szCs w:val="26"/>
        </w:rPr>
        <w:t xml:space="preserve">è quello della natura umana quale </w:t>
      </w:r>
      <w:r w:rsidRPr="00403179">
        <w:rPr>
          <w:i/>
          <w:iCs/>
          <w:sz w:val="26"/>
          <w:szCs w:val="26"/>
        </w:rPr>
        <w:t xml:space="preserve">logos </w:t>
      </w:r>
      <w:r w:rsidRPr="00403179">
        <w:rPr>
          <w:sz w:val="26"/>
          <w:szCs w:val="26"/>
        </w:rPr>
        <w:t>incarnato, quindi la sua condizione “creaturale”. Che cosa fa di un uomo un uomo?</w:t>
      </w:r>
    </w:p>
    <w:p w:rsidR="00F36185" w:rsidRDefault="00F36185" w:rsidP="00DD4F2B">
      <w:pPr>
        <w:pStyle w:val="Default"/>
        <w:jc w:val="both"/>
        <w:rPr>
          <w:sz w:val="26"/>
          <w:szCs w:val="26"/>
        </w:rPr>
      </w:pPr>
      <w:r w:rsidRPr="00403179">
        <w:rPr>
          <w:sz w:val="26"/>
          <w:szCs w:val="26"/>
        </w:rPr>
        <w:t xml:space="preserve">Per secoli, il pensiero occidentale ha cercato di ‘definire’ l’essenza dell’uomo, cioè la sua verità antropologica, in rapporto all’essere. Con l’età moderna l’attenzione si è spostata sulla soggettività, intesa come </w:t>
      </w:r>
      <w:r w:rsidRPr="00403179">
        <w:rPr>
          <w:i/>
          <w:iCs/>
          <w:sz w:val="26"/>
          <w:szCs w:val="26"/>
        </w:rPr>
        <w:t>coscienza</w:t>
      </w:r>
      <w:r w:rsidRPr="00403179">
        <w:rPr>
          <w:sz w:val="26"/>
          <w:szCs w:val="26"/>
        </w:rPr>
        <w:t>. Per i transumanisti, invece è proprio della natura umana trasgredire la natura umana stessa, andare contro di essa spingendosi,</w:t>
      </w:r>
    </w:p>
    <w:p w:rsidR="00F36185" w:rsidRPr="00403179" w:rsidRDefault="00F36185" w:rsidP="00DD4F2B">
      <w:pPr>
        <w:pStyle w:val="Default"/>
        <w:jc w:val="both"/>
        <w:rPr>
          <w:sz w:val="26"/>
          <w:szCs w:val="26"/>
        </w:rPr>
      </w:pPr>
    </w:p>
    <w:p w:rsidR="00F36185" w:rsidRPr="00403179" w:rsidRDefault="00F36185" w:rsidP="00403179">
      <w:pPr>
        <w:pStyle w:val="Default"/>
        <w:jc w:val="both"/>
        <w:rPr>
          <w:sz w:val="22"/>
          <w:szCs w:val="26"/>
        </w:rPr>
      </w:pPr>
      <w:r w:rsidRPr="00403179">
        <w:rPr>
          <w:sz w:val="22"/>
          <w:szCs w:val="26"/>
        </w:rPr>
        <w:t xml:space="preserve">5 L. </w:t>
      </w:r>
      <w:r w:rsidRPr="00403179">
        <w:rPr>
          <w:smallCaps/>
          <w:color w:val="auto"/>
          <w:sz w:val="22"/>
          <w:szCs w:val="26"/>
          <w:lang w:eastAsia="en-US"/>
        </w:rPr>
        <w:t>G</w:t>
      </w:r>
      <w:r>
        <w:rPr>
          <w:smallCaps/>
          <w:color w:val="auto"/>
          <w:sz w:val="22"/>
          <w:szCs w:val="26"/>
          <w:lang w:eastAsia="en-US"/>
        </w:rPr>
        <w:t>rion</w:t>
      </w:r>
      <w:r w:rsidRPr="00403179">
        <w:rPr>
          <w:sz w:val="22"/>
          <w:szCs w:val="26"/>
        </w:rPr>
        <w:t xml:space="preserve">, </w:t>
      </w:r>
      <w:r w:rsidRPr="00403179">
        <w:rPr>
          <w:i/>
          <w:iCs/>
          <w:sz w:val="22"/>
          <w:szCs w:val="26"/>
        </w:rPr>
        <w:t>Dalla sfiducia allo slancio. L’alternativa alla provocazione transumanista</w:t>
      </w:r>
      <w:r w:rsidRPr="00403179">
        <w:rPr>
          <w:sz w:val="22"/>
          <w:szCs w:val="26"/>
        </w:rPr>
        <w:t xml:space="preserve">, in ID. (a cura di), </w:t>
      </w:r>
      <w:r w:rsidRPr="00403179">
        <w:rPr>
          <w:i/>
          <w:iCs/>
          <w:sz w:val="22"/>
          <w:szCs w:val="26"/>
        </w:rPr>
        <w:t>La sfida postumanista. Colloqui sul significato della tecnica</w:t>
      </w:r>
      <w:r w:rsidRPr="00403179">
        <w:rPr>
          <w:sz w:val="22"/>
          <w:szCs w:val="26"/>
        </w:rPr>
        <w:t xml:space="preserve">, Il Mulino, Bologna 2012, 66-67. </w:t>
      </w:r>
    </w:p>
    <w:p w:rsidR="00F36185" w:rsidRPr="00403179" w:rsidRDefault="00F36185" w:rsidP="00403179">
      <w:pPr>
        <w:pStyle w:val="Default"/>
        <w:jc w:val="both"/>
        <w:rPr>
          <w:sz w:val="22"/>
          <w:szCs w:val="26"/>
        </w:rPr>
      </w:pPr>
      <w:r w:rsidRPr="00403179">
        <w:rPr>
          <w:sz w:val="22"/>
          <w:szCs w:val="26"/>
        </w:rPr>
        <w:t>6</w:t>
      </w:r>
      <w:r>
        <w:rPr>
          <w:sz w:val="22"/>
          <w:szCs w:val="26"/>
        </w:rPr>
        <w:t xml:space="preserve"> </w:t>
      </w:r>
      <w:r w:rsidRPr="00403179">
        <w:rPr>
          <w:sz w:val="22"/>
          <w:szCs w:val="26"/>
        </w:rPr>
        <w:t xml:space="preserve">F. </w:t>
      </w:r>
      <w:r w:rsidRPr="00403179">
        <w:rPr>
          <w:smallCaps/>
          <w:color w:val="auto"/>
          <w:sz w:val="22"/>
          <w:szCs w:val="26"/>
          <w:lang w:eastAsia="en-US"/>
        </w:rPr>
        <w:t>D</w:t>
      </w:r>
      <w:r>
        <w:rPr>
          <w:smallCaps/>
          <w:color w:val="auto"/>
          <w:sz w:val="22"/>
          <w:szCs w:val="26"/>
          <w:lang w:eastAsia="en-US"/>
        </w:rPr>
        <w:t>e</w:t>
      </w:r>
      <w:r w:rsidRPr="00403179">
        <w:rPr>
          <w:smallCaps/>
          <w:color w:val="auto"/>
          <w:sz w:val="22"/>
          <w:szCs w:val="26"/>
          <w:lang w:eastAsia="en-US"/>
        </w:rPr>
        <w:t xml:space="preserve"> F</w:t>
      </w:r>
      <w:r>
        <w:rPr>
          <w:smallCaps/>
          <w:color w:val="auto"/>
          <w:sz w:val="22"/>
          <w:szCs w:val="26"/>
          <w:lang w:eastAsia="en-US"/>
        </w:rPr>
        <w:t>ilippo</w:t>
      </w:r>
      <w:r w:rsidRPr="00403179">
        <w:rPr>
          <w:smallCaps/>
          <w:color w:val="auto"/>
          <w:sz w:val="22"/>
          <w:szCs w:val="26"/>
          <w:lang w:eastAsia="en-US"/>
        </w:rPr>
        <w:t xml:space="preserve"> E M. F</w:t>
      </w:r>
      <w:r>
        <w:rPr>
          <w:smallCaps/>
          <w:color w:val="auto"/>
          <w:sz w:val="22"/>
          <w:szCs w:val="26"/>
          <w:lang w:eastAsia="en-US"/>
        </w:rPr>
        <w:t>rega</w:t>
      </w:r>
      <w:r w:rsidRPr="00403179">
        <w:rPr>
          <w:sz w:val="22"/>
          <w:szCs w:val="26"/>
        </w:rPr>
        <w:t xml:space="preserve">, </w:t>
      </w:r>
      <w:r w:rsidRPr="00403179">
        <w:rPr>
          <w:i/>
          <w:iCs/>
          <w:sz w:val="22"/>
          <w:szCs w:val="26"/>
        </w:rPr>
        <w:t>Prossimi umani. Dalla genetica alla robotica, dalla bomba demografica ai big data. Come sarà la nostra vita tra vent'anni</w:t>
      </w:r>
      <w:r w:rsidRPr="00403179">
        <w:rPr>
          <w:sz w:val="22"/>
          <w:szCs w:val="26"/>
        </w:rPr>
        <w:t xml:space="preserve">, Giunti, Milano 2018, </w:t>
      </w:r>
      <w:r w:rsidRPr="00403179">
        <w:rPr>
          <w:i/>
          <w:iCs/>
          <w:sz w:val="22"/>
          <w:szCs w:val="26"/>
        </w:rPr>
        <w:t>passim</w:t>
      </w:r>
      <w:r w:rsidRPr="00403179">
        <w:rPr>
          <w:sz w:val="22"/>
          <w:szCs w:val="26"/>
        </w:rPr>
        <w:t xml:space="preserve">. </w:t>
      </w:r>
    </w:p>
    <w:p w:rsidR="00F36185" w:rsidRPr="00403179" w:rsidRDefault="00F36185" w:rsidP="00DD4F2B">
      <w:pPr>
        <w:pStyle w:val="Default"/>
        <w:jc w:val="both"/>
        <w:rPr>
          <w:sz w:val="26"/>
          <w:szCs w:val="26"/>
        </w:rPr>
      </w:pPr>
      <w:r w:rsidRPr="00403179">
        <w:rPr>
          <w:sz w:val="26"/>
          <w:szCs w:val="26"/>
        </w:rPr>
        <w:t>una</w:t>
      </w:r>
      <w:r>
        <w:rPr>
          <w:sz w:val="26"/>
          <w:szCs w:val="26"/>
        </w:rPr>
        <w:t xml:space="preserve"> </w:t>
      </w:r>
      <w:r w:rsidRPr="00403179">
        <w:rPr>
          <w:i/>
          <w:iCs/>
          <w:sz w:val="26"/>
          <w:szCs w:val="26"/>
        </w:rPr>
        <w:t>performance</w:t>
      </w:r>
      <w:r>
        <w:rPr>
          <w:i/>
          <w:iCs/>
          <w:sz w:val="26"/>
          <w:szCs w:val="26"/>
        </w:rPr>
        <w:t xml:space="preserve"> </w:t>
      </w:r>
      <w:r w:rsidRPr="00403179">
        <w:rPr>
          <w:sz w:val="26"/>
          <w:szCs w:val="26"/>
        </w:rPr>
        <w:t>dopo l’altra, al di là di tutti i limiti. Ma questa spinta prometeica oltre ogni limite, al di là della riproposizione del tema dell’</w:t>
      </w:r>
      <w:r w:rsidRPr="00403179">
        <w:rPr>
          <w:i/>
          <w:iCs/>
          <w:sz w:val="26"/>
          <w:szCs w:val="26"/>
        </w:rPr>
        <w:t>hybris</w:t>
      </w:r>
      <w:r w:rsidRPr="00403179">
        <w:rPr>
          <w:sz w:val="26"/>
          <w:szCs w:val="26"/>
        </w:rPr>
        <w:t xml:space="preserve">, presenta – di fatto – un clamoroso </w:t>
      </w:r>
      <w:r w:rsidRPr="00403179">
        <w:rPr>
          <w:i/>
          <w:iCs/>
          <w:sz w:val="26"/>
          <w:szCs w:val="26"/>
        </w:rPr>
        <w:t xml:space="preserve">deficit </w:t>
      </w:r>
      <w:r w:rsidRPr="00403179">
        <w:rPr>
          <w:sz w:val="26"/>
          <w:szCs w:val="26"/>
        </w:rPr>
        <w:t xml:space="preserve">di senso. Le pratiche potenzianti del </w:t>
      </w:r>
      <w:r w:rsidRPr="00403179">
        <w:rPr>
          <w:i/>
          <w:iCs/>
          <w:sz w:val="26"/>
          <w:szCs w:val="26"/>
        </w:rPr>
        <w:t xml:space="preserve">logos </w:t>
      </w:r>
      <w:r w:rsidRPr="00403179">
        <w:rPr>
          <w:sz w:val="26"/>
          <w:szCs w:val="26"/>
        </w:rPr>
        <w:t xml:space="preserve">(dal potenziamento cognitivo alla scienza medica) non offrono un supplemento di </w:t>
      </w:r>
      <w:r w:rsidRPr="00403179">
        <w:rPr>
          <w:i/>
          <w:iCs/>
          <w:sz w:val="26"/>
          <w:szCs w:val="26"/>
        </w:rPr>
        <w:t xml:space="preserve">senso </w:t>
      </w:r>
      <w:r w:rsidRPr="00403179">
        <w:rPr>
          <w:sz w:val="26"/>
          <w:szCs w:val="26"/>
        </w:rPr>
        <w:t>all’umano. Ciò che qualifica la condizione umana è il sapersi disporre in un orizzonte di significati che sono indisponibili a qualsiasi potenziamento quantitavo o qualitativo. Non si tratta di contrapporre un antitransumanesimo cristiano all’ideologia del transumanesimo ateo, quanto di cogliere, come ha sagacemente ed ironicamente intuito Dominique de Gramont, recuperando un titolo che fu di Henri de Lubac, il «dramma del transumanesimo ateo»</w:t>
      </w:r>
      <w:r w:rsidRPr="00403179">
        <w:rPr>
          <w:sz w:val="26"/>
          <w:szCs w:val="26"/>
          <w:vertAlign w:val="superscript"/>
        </w:rPr>
        <w:t>7</w:t>
      </w:r>
      <w:r w:rsidRPr="00403179">
        <w:rPr>
          <w:sz w:val="26"/>
          <w:szCs w:val="26"/>
        </w:rPr>
        <w:t xml:space="preserve">. </w:t>
      </w:r>
    </w:p>
    <w:p w:rsidR="00F36185" w:rsidRPr="00403179" w:rsidRDefault="00F36185" w:rsidP="00DD4F2B">
      <w:pPr>
        <w:spacing w:after="0" w:line="288" w:lineRule="auto"/>
        <w:jc w:val="both"/>
        <w:rPr>
          <w:rFonts w:ascii="Times New Roman" w:hAnsi="Times New Roman"/>
          <w:sz w:val="26"/>
          <w:szCs w:val="26"/>
        </w:rPr>
      </w:pPr>
      <w:r w:rsidRPr="00403179">
        <w:rPr>
          <w:rFonts w:ascii="Times New Roman" w:hAnsi="Times New Roman"/>
          <w:sz w:val="26"/>
          <w:szCs w:val="26"/>
        </w:rPr>
        <w:t xml:space="preserve">Nel seminario che iniziamo avremo modo anche di fare una ricognizione ragionata della sfida che il movimento transumanista rappresenta sul piano dei significati: la posta in gioco per il futuro del cristianesimo è prima di tutto culturale </w:t>
      </w:r>
      <w:r w:rsidRPr="00403179">
        <w:rPr>
          <w:rFonts w:ascii="Times New Roman" w:hAnsi="Times New Roman"/>
          <w:i/>
          <w:iCs/>
          <w:sz w:val="26"/>
          <w:szCs w:val="26"/>
        </w:rPr>
        <w:t xml:space="preserve">e quindi </w:t>
      </w:r>
      <w:r w:rsidRPr="00403179">
        <w:rPr>
          <w:rFonts w:ascii="Times New Roman" w:hAnsi="Times New Roman"/>
          <w:sz w:val="26"/>
          <w:szCs w:val="26"/>
        </w:rPr>
        <w:t>pastorale.</w:t>
      </w:r>
    </w:p>
    <w:p w:rsidR="00F36185" w:rsidRDefault="00F36185" w:rsidP="00DD4F2B">
      <w:pPr>
        <w:spacing w:after="0" w:line="288" w:lineRule="auto"/>
        <w:jc w:val="both"/>
        <w:rPr>
          <w:rFonts w:ascii="Times New Roman" w:hAnsi="Times New Roman"/>
          <w:sz w:val="26"/>
          <w:szCs w:val="26"/>
        </w:rPr>
      </w:pPr>
    </w:p>
    <w:p w:rsidR="00F36185" w:rsidRDefault="00F36185" w:rsidP="00DD4F2B">
      <w:pPr>
        <w:spacing w:after="0" w:line="288" w:lineRule="auto"/>
        <w:jc w:val="both"/>
        <w:rPr>
          <w:rFonts w:ascii="Times New Roman" w:hAnsi="Times New Roman"/>
          <w:sz w:val="26"/>
          <w:szCs w:val="26"/>
        </w:rPr>
      </w:pPr>
    </w:p>
    <w:p w:rsidR="00F36185" w:rsidRDefault="00F36185" w:rsidP="00DD4F2B">
      <w:pPr>
        <w:spacing w:after="0" w:line="288" w:lineRule="auto"/>
        <w:jc w:val="both"/>
        <w:rPr>
          <w:rFonts w:ascii="Times New Roman" w:hAnsi="Times New Roman"/>
          <w:sz w:val="26"/>
          <w:szCs w:val="26"/>
        </w:rPr>
      </w:pPr>
    </w:p>
    <w:p w:rsidR="00F36185" w:rsidRDefault="00F36185" w:rsidP="00DD4F2B">
      <w:pPr>
        <w:spacing w:after="0" w:line="288" w:lineRule="auto"/>
        <w:jc w:val="both"/>
        <w:rPr>
          <w:rFonts w:ascii="Times New Roman" w:hAnsi="Times New Roman"/>
          <w:sz w:val="26"/>
          <w:szCs w:val="26"/>
        </w:rPr>
      </w:pPr>
    </w:p>
    <w:p w:rsidR="00F36185" w:rsidRPr="00403179" w:rsidRDefault="00F36185" w:rsidP="00DD4F2B">
      <w:pPr>
        <w:spacing w:after="0" w:line="288" w:lineRule="auto"/>
        <w:jc w:val="both"/>
        <w:rPr>
          <w:rFonts w:ascii="Times New Roman" w:hAnsi="Times New Roman"/>
          <w:sz w:val="26"/>
          <w:szCs w:val="26"/>
        </w:rPr>
      </w:pPr>
    </w:p>
    <w:p w:rsidR="00F36185" w:rsidRPr="00403179" w:rsidRDefault="00F36185" w:rsidP="00DD4F2B">
      <w:pPr>
        <w:spacing w:after="0" w:line="288" w:lineRule="auto"/>
        <w:jc w:val="both"/>
        <w:rPr>
          <w:rFonts w:ascii="Times New Roman" w:hAnsi="Times New Roman"/>
          <w:szCs w:val="26"/>
        </w:rPr>
      </w:pPr>
      <w:r w:rsidRPr="00403179">
        <w:rPr>
          <w:rFonts w:ascii="Times New Roman" w:hAnsi="Times New Roman"/>
          <w:szCs w:val="26"/>
        </w:rPr>
        <w:t xml:space="preserve">7 Cf. </w:t>
      </w:r>
      <w:r w:rsidRPr="00403179">
        <w:rPr>
          <w:rFonts w:ascii="Times New Roman" w:hAnsi="Times New Roman"/>
          <w:smallCaps/>
          <w:szCs w:val="26"/>
        </w:rPr>
        <w:t>D. D</w:t>
      </w:r>
      <w:r>
        <w:rPr>
          <w:rFonts w:ascii="Times New Roman" w:hAnsi="Times New Roman"/>
          <w:smallCaps/>
          <w:szCs w:val="26"/>
        </w:rPr>
        <w:t>e</w:t>
      </w:r>
      <w:r w:rsidRPr="00403179">
        <w:rPr>
          <w:rFonts w:ascii="Times New Roman" w:hAnsi="Times New Roman"/>
          <w:smallCaps/>
          <w:szCs w:val="26"/>
        </w:rPr>
        <w:t xml:space="preserve"> G</w:t>
      </w:r>
      <w:r>
        <w:rPr>
          <w:rFonts w:ascii="Times New Roman" w:hAnsi="Times New Roman"/>
          <w:smallCaps/>
          <w:szCs w:val="26"/>
        </w:rPr>
        <w:t>ramont</w:t>
      </w:r>
      <w:r w:rsidRPr="00403179">
        <w:rPr>
          <w:rFonts w:ascii="Times New Roman" w:hAnsi="Times New Roman"/>
          <w:szCs w:val="26"/>
        </w:rPr>
        <w:t xml:space="preserve">, </w:t>
      </w:r>
      <w:r w:rsidRPr="00403179">
        <w:rPr>
          <w:rFonts w:ascii="Times New Roman" w:hAnsi="Times New Roman"/>
          <w:i/>
          <w:iCs/>
          <w:szCs w:val="26"/>
        </w:rPr>
        <w:t>Le christianisme est un transhumanisme</w:t>
      </w:r>
      <w:r w:rsidRPr="00403179">
        <w:rPr>
          <w:rFonts w:ascii="Times New Roman" w:hAnsi="Times New Roman"/>
          <w:szCs w:val="26"/>
        </w:rPr>
        <w:t xml:space="preserve">, Cerf, Paris 2017.  </w:t>
      </w:r>
    </w:p>
    <w:sectPr w:rsidR="00F36185" w:rsidRPr="00403179" w:rsidSect="002D4C5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185" w:rsidRDefault="00F36185" w:rsidP="00516558">
      <w:pPr>
        <w:spacing w:after="0" w:line="240" w:lineRule="auto"/>
      </w:pPr>
      <w:r>
        <w:separator/>
      </w:r>
    </w:p>
  </w:endnote>
  <w:endnote w:type="continuationSeparator" w:id="0">
    <w:p w:rsidR="00F36185" w:rsidRDefault="00F36185" w:rsidP="005165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Light">
    <w:altName w:val="Malgun Gothic"/>
    <w:panose1 w:val="00000000000000000000"/>
    <w:charset w:val="81"/>
    <w:family w:val="auto"/>
    <w:notTrueType/>
    <w:pitch w:val="default"/>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185" w:rsidRDefault="00F36185" w:rsidP="00516558">
      <w:pPr>
        <w:spacing w:after="0" w:line="240" w:lineRule="auto"/>
      </w:pPr>
      <w:r>
        <w:separator/>
      </w:r>
    </w:p>
  </w:footnote>
  <w:footnote w:type="continuationSeparator" w:id="0">
    <w:p w:rsidR="00F36185" w:rsidRDefault="00F36185" w:rsidP="005165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C39BA"/>
    <w:multiLevelType w:val="hybridMultilevel"/>
    <w:tmpl w:val="B10A43EA"/>
    <w:lvl w:ilvl="0" w:tplc="077801DA">
      <w:start w:val="1"/>
      <w:numFmt w:val="bullet"/>
      <w:lvlText w:val=""/>
      <w:lvlJc w:val="left"/>
      <w:pPr>
        <w:tabs>
          <w:tab w:val="num" w:pos="680"/>
        </w:tabs>
        <w:ind w:left="680" w:hanging="680"/>
      </w:pPr>
      <w:rPr>
        <w:rFonts w:ascii="Wingdings 3" w:hAnsi="Wingdings 3"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4FA10A65"/>
    <w:multiLevelType w:val="hybridMultilevel"/>
    <w:tmpl w:val="F6BA0728"/>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
    <w:nsid w:val="558878DA"/>
    <w:multiLevelType w:val="hybridMultilevel"/>
    <w:tmpl w:val="C0C4D164"/>
    <w:lvl w:ilvl="0" w:tplc="3FE6F078">
      <w:start w:val="1"/>
      <w:numFmt w:val="decimal"/>
      <w:lvlText w:val="%1)"/>
      <w:lvlJc w:val="left"/>
      <w:pPr>
        <w:ind w:left="720" w:hanging="360"/>
      </w:pPr>
      <w:rPr>
        <w:rFonts w:cs="Times New Roman" w:hint="default"/>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7056520B"/>
    <w:multiLevelType w:val="hybridMultilevel"/>
    <w:tmpl w:val="4D82C87C"/>
    <w:lvl w:ilvl="0" w:tplc="ABE4B4E6">
      <w:start w:val="6"/>
      <w:numFmt w:val="bullet"/>
      <w:lvlText w:val="-"/>
      <w:lvlJc w:val="left"/>
      <w:pPr>
        <w:ind w:left="720" w:hanging="360"/>
      </w:pPr>
      <w:rPr>
        <w:rFonts w:ascii="Times New Roman" w:eastAsia="GillSans-Light"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3F8E"/>
    <w:rsid w:val="00046DB0"/>
    <w:rsid w:val="00060B3E"/>
    <w:rsid w:val="00062A3D"/>
    <w:rsid w:val="00086CFD"/>
    <w:rsid w:val="000B53C9"/>
    <w:rsid w:val="000C0FF0"/>
    <w:rsid w:val="000C4875"/>
    <w:rsid w:val="000E3494"/>
    <w:rsid w:val="000E5379"/>
    <w:rsid w:val="000E70D2"/>
    <w:rsid w:val="000F19A0"/>
    <w:rsid w:val="001A6DDE"/>
    <w:rsid w:val="001E6B89"/>
    <w:rsid w:val="001E781E"/>
    <w:rsid w:val="001F118A"/>
    <w:rsid w:val="00253B59"/>
    <w:rsid w:val="00261598"/>
    <w:rsid w:val="0029235D"/>
    <w:rsid w:val="002C2159"/>
    <w:rsid w:val="002D4B72"/>
    <w:rsid w:val="002D4C54"/>
    <w:rsid w:val="002F663A"/>
    <w:rsid w:val="00310662"/>
    <w:rsid w:val="00323A7A"/>
    <w:rsid w:val="00324163"/>
    <w:rsid w:val="00383016"/>
    <w:rsid w:val="003C3BE4"/>
    <w:rsid w:val="003F3745"/>
    <w:rsid w:val="00403179"/>
    <w:rsid w:val="0040519C"/>
    <w:rsid w:val="0042656F"/>
    <w:rsid w:val="00455D66"/>
    <w:rsid w:val="0051636C"/>
    <w:rsid w:val="00516558"/>
    <w:rsid w:val="005C08E2"/>
    <w:rsid w:val="005D3365"/>
    <w:rsid w:val="00605075"/>
    <w:rsid w:val="00622190"/>
    <w:rsid w:val="00622910"/>
    <w:rsid w:val="006265B5"/>
    <w:rsid w:val="006B2151"/>
    <w:rsid w:val="006E0A46"/>
    <w:rsid w:val="006E563B"/>
    <w:rsid w:val="007B281C"/>
    <w:rsid w:val="007F3F8E"/>
    <w:rsid w:val="007F5E00"/>
    <w:rsid w:val="008000F5"/>
    <w:rsid w:val="00805D02"/>
    <w:rsid w:val="00833C7D"/>
    <w:rsid w:val="00853022"/>
    <w:rsid w:val="0089329B"/>
    <w:rsid w:val="008D3ABF"/>
    <w:rsid w:val="00952B7A"/>
    <w:rsid w:val="00A121D7"/>
    <w:rsid w:val="00A134EF"/>
    <w:rsid w:val="00A80A30"/>
    <w:rsid w:val="00AA3096"/>
    <w:rsid w:val="00AA48ED"/>
    <w:rsid w:val="00AF736C"/>
    <w:rsid w:val="00B1353F"/>
    <w:rsid w:val="00B427B0"/>
    <w:rsid w:val="00B67D0F"/>
    <w:rsid w:val="00BA7831"/>
    <w:rsid w:val="00BB1EB9"/>
    <w:rsid w:val="00BB7DBA"/>
    <w:rsid w:val="00BC2E0E"/>
    <w:rsid w:val="00BD4C8D"/>
    <w:rsid w:val="00BF4016"/>
    <w:rsid w:val="00C046AF"/>
    <w:rsid w:val="00C2121F"/>
    <w:rsid w:val="00C45A7E"/>
    <w:rsid w:val="00CC2489"/>
    <w:rsid w:val="00CC51C5"/>
    <w:rsid w:val="00D213D8"/>
    <w:rsid w:val="00D54EEC"/>
    <w:rsid w:val="00D90453"/>
    <w:rsid w:val="00DB06DA"/>
    <w:rsid w:val="00DD4F2B"/>
    <w:rsid w:val="00E5737D"/>
    <w:rsid w:val="00E75A41"/>
    <w:rsid w:val="00EB3CB6"/>
    <w:rsid w:val="00EC7A4E"/>
    <w:rsid w:val="00ED3187"/>
    <w:rsid w:val="00ED7ABB"/>
    <w:rsid w:val="00EE3394"/>
    <w:rsid w:val="00EE39B9"/>
    <w:rsid w:val="00F36185"/>
    <w:rsid w:val="00F95065"/>
    <w:rsid w:val="00F9761F"/>
    <w:rsid w:val="00FE419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54"/>
    <w:pPr>
      <w:spacing w:after="160" w:line="259" w:lineRule="auto"/>
    </w:pPr>
    <w:rPr>
      <w:lang w:eastAsia="en-US"/>
    </w:rPr>
  </w:style>
  <w:style w:type="paragraph" w:styleId="Heading1">
    <w:name w:val="heading 1"/>
    <w:basedOn w:val="Normal"/>
    <w:next w:val="Normal"/>
    <w:link w:val="Heading1Char"/>
    <w:uiPriority w:val="99"/>
    <w:qFormat/>
    <w:rsid w:val="006265B5"/>
    <w:pPr>
      <w:keepNext/>
      <w:tabs>
        <w:tab w:val="left" w:pos="864"/>
        <w:tab w:val="left" w:pos="1440"/>
        <w:tab w:val="left" w:pos="2160"/>
        <w:tab w:val="left" w:pos="2880"/>
        <w:tab w:val="left" w:pos="3600"/>
        <w:tab w:val="left" w:pos="4320"/>
        <w:tab w:val="left" w:pos="5040"/>
        <w:tab w:val="left" w:pos="5760"/>
        <w:tab w:val="left" w:pos="6480"/>
        <w:tab w:val="left" w:pos="7200"/>
        <w:tab w:val="left" w:pos="7920"/>
        <w:tab w:val="left" w:pos="9498"/>
      </w:tabs>
      <w:overflowPunct w:val="0"/>
      <w:autoSpaceDE w:val="0"/>
      <w:autoSpaceDN w:val="0"/>
      <w:adjustRightInd w:val="0"/>
      <w:spacing w:after="0" w:line="240" w:lineRule="auto"/>
      <w:ind w:right="163"/>
      <w:jc w:val="both"/>
      <w:textAlignment w:val="baseline"/>
      <w:outlineLvl w:val="0"/>
    </w:pPr>
    <w:rPr>
      <w:rFonts w:ascii="Tahoma" w:eastAsia="Times New Roman" w:hAnsi="Tahoma" w:cs="Tahoma"/>
      <w:b/>
      <w:bCs/>
      <w:smallCaps/>
      <w:sz w:val="30"/>
      <w:szCs w:val="20"/>
      <w:lang w:eastAsia="it-IT"/>
    </w:rPr>
  </w:style>
  <w:style w:type="paragraph" w:styleId="Heading2">
    <w:name w:val="heading 2"/>
    <w:basedOn w:val="Normal"/>
    <w:next w:val="Normal"/>
    <w:link w:val="Heading2Char"/>
    <w:uiPriority w:val="99"/>
    <w:qFormat/>
    <w:rsid w:val="006265B5"/>
    <w:pPr>
      <w:tabs>
        <w:tab w:val="left" w:pos="680"/>
      </w:tabs>
      <w:spacing w:after="0" w:line="240" w:lineRule="auto"/>
      <w:ind w:left="680" w:hanging="680"/>
      <w:jc w:val="both"/>
      <w:outlineLvl w:val="1"/>
    </w:pPr>
    <w:rPr>
      <w:rFonts w:ascii="Times New Roman" w:eastAsia="Times New Roman" w:hAnsi="Times New Roman"/>
      <w:b/>
      <w:smallCaps/>
      <w:sz w:val="26"/>
      <w:szCs w:val="20"/>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65B5"/>
    <w:rPr>
      <w:rFonts w:ascii="Tahoma" w:hAnsi="Tahoma" w:cs="Tahoma"/>
      <w:b/>
      <w:bCs/>
      <w:smallCaps/>
      <w:sz w:val="20"/>
      <w:szCs w:val="20"/>
      <w:lang w:eastAsia="it-IT"/>
    </w:rPr>
  </w:style>
  <w:style w:type="character" w:customStyle="1" w:styleId="Heading2Char">
    <w:name w:val="Heading 2 Char"/>
    <w:basedOn w:val="DefaultParagraphFont"/>
    <w:link w:val="Heading2"/>
    <w:uiPriority w:val="99"/>
    <w:locked/>
    <w:rsid w:val="006265B5"/>
    <w:rPr>
      <w:rFonts w:ascii="Times New Roman" w:hAnsi="Times New Roman" w:cs="Times New Roman"/>
      <w:b/>
      <w:smallCaps/>
      <w:sz w:val="20"/>
      <w:szCs w:val="20"/>
      <w:lang w:eastAsia="it-IT"/>
    </w:rPr>
  </w:style>
  <w:style w:type="paragraph" w:styleId="ListParagraph">
    <w:name w:val="List Paragraph"/>
    <w:basedOn w:val="Normal"/>
    <w:uiPriority w:val="99"/>
    <w:qFormat/>
    <w:rsid w:val="00BB1EB9"/>
    <w:pPr>
      <w:ind w:left="720"/>
      <w:contextualSpacing/>
    </w:pPr>
  </w:style>
  <w:style w:type="paragraph" w:styleId="BodyText">
    <w:name w:val="Body Text"/>
    <w:basedOn w:val="Normal"/>
    <w:link w:val="BodyTextChar"/>
    <w:uiPriority w:val="99"/>
    <w:rsid w:val="006265B5"/>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9498"/>
      </w:tabs>
      <w:overflowPunct w:val="0"/>
      <w:autoSpaceDE w:val="0"/>
      <w:autoSpaceDN w:val="0"/>
      <w:adjustRightInd w:val="0"/>
      <w:spacing w:after="0" w:line="240" w:lineRule="auto"/>
      <w:ind w:right="163"/>
      <w:jc w:val="both"/>
      <w:textAlignment w:val="baseline"/>
    </w:pPr>
    <w:rPr>
      <w:rFonts w:ascii="Tahoma" w:eastAsia="Times New Roman" w:hAnsi="Tahoma" w:cs="Tahoma"/>
      <w:sz w:val="28"/>
      <w:szCs w:val="20"/>
      <w:lang w:eastAsia="it-IT"/>
    </w:rPr>
  </w:style>
  <w:style w:type="character" w:customStyle="1" w:styleId="BodyTextChar">
    <w:name w:val="Body Text Char"/>
    <w:basedOn w:val="DefaultParagraphFont"/>
    <w:link w:val="BodyText"/>
    <w:uiPriority w:val="99"/>
    <w:locked/>
    <w:rsid w:val="006265B5"/>
    <w:rPr>
      <w:rFonts w:ascii="Tahoma" w:hAnsi="Tahoma" w:cs="Tahoma"/>
      <w:sz w:val="20"/>
      <w:szCs w:val="20"/>
      <w:lang w:eastAsia="it-IT"/>
    </w:rPr>
  </w:style>
  <w:style w:type="paragraph" w:styleId="Header">
    <w:name w:val="header"/>
    <w:basedOn w:val="Normal"/>
    <w:link w:val="HeaderChar"/>
    <w:uiPriority w:val="99"/>
    <w:rsid w:val="00516558"/>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516558"/>
    <w:rPr>
      <w:rFonts w:cs="Times New Roman"/>
    </w:rPr>
  </w:style>
  <w:style w:type="paragraph" w:styleId="Footer">
    <w:name w:val="footer"/>
    <w:basedOn w:val="Normal"/>
    <w:link w:val="FooterChar"/>
    <w:uiPriority w:val="99"/>
    <w:rsid w:val="00516558"/>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516558"/>
    <w:rPr>
      <w:rFonts w:cs="Times New Roman"/>
    </w:rPr>
  </w:style>
  <w:style w:type="paragraph" w:customStyle="1" w:styleId="Default">
    <w:name w:val="Default"/>
    <w:uiPriority w:val="99"/>
    <w:rsid w:val="00DD4F2B"/>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12286362">
      <w:marLeft w:val="0"/>
      <w:marRight w:val="0"/>
      <w:marTop w:val="0"/>
      <w:marBottom w:val="0"/>
      <w:divBdr>
        <w:top w:val="none" w:sz="0" w:space="0" w:color="auto"/>
        <w:left w:val="none" w:sz="0" w:space="0" w:color="auto"/>
        <w:bottom w:val="none" w:sz="0" w:space="0" w:color="auto"/>
        <w:right w:val="none" w:sz="0" w:space="0" w:color="auto"/>
      </w:divBdr>
      <w:divsChild>
        <w:div w:id="1812286358">
          <w:marLeft w:val="0"/>
          <w:marRight w:val="0"/>
          <w:marTop w:val="0"/>
          <w:marBottom w:val="0"/>
          <w:divBdr>
            <w:top w:val="none" w:sz="0" w:space="0" w:color="auto"/>
            <w:left w:val="none" w:sz="0" w:space="0" w:color="auto"/>
            <w:bottom w:val="none" w:sz="0" w:space="0" w:color="auto"/>
            <w:right w:val="none" w:sz="0" w:space="0" w:color="auto"/>
          </w:divBdr>
          <w:divsChild>
            <w:div w:id="1812286355">
              <w:marLeft w:val="0"/>
              <w:marRight w:val="0"/>
              <w:marTop w:val="0"/>
              <w:marBottom w:val="0"/>
              <w:divBdr>
                <w:top w:val="none" w:sz="0" w:space="0" w:color="auto"/>
                <w:left w:val="none" w:sz="0" w:space="0" w:color="auto"/>
                <w:bottom w:val="none" w:sz="0" w:space="0" w:color="auto"/>
                <w:right w:val="none" w:sz="0" w:space="0" w:color="auto"/>
              </w:divBdr>
            </w:div>
            <w:div w:id="1812286356">
              <w:marLeft w:val="0"/>
              <w:marRight w:val="0"/>
              <w:marTop w:val="0"/>
              <w:marBottom w:val="0"/>
              <w:divBdr>
                <w:top w:val="none" w:sz="0" w:space="0" w:color="auto"/>
                <w:left w:val="none" w:sz="0" w:space="0" w:color="auto"/>
                <w:bottom w:val="none" w:sz="0" w:space="0" w:color="auto"/>
                <w:right w:val="none" w:sz="0" w:space="0" w:color="auto"/>
              </w:divBdr>
            </w:div>
            <w:div w:id="1812286357">
              <w:marLeft w:val="0"/>
              <w:marRight w:val="0"/>
              <w:marTop w:val="0"/>
              <w:marBottom w:val="0"/>
              <w:divBdr>
                <w:top w:val="none" w:sz="0" w:space="0" w:color="auto"/>
                <w:left w:val="none" w:sz="0" w:space="0" w:color="auto"/>
                <w:bottom w:val="none" w:sz="0" w:space="0" w:color="auto"/>
                <w:right w:val="none" w:sz="0" w:space="0" w:color="auto"/>
              </w:divBdr>
            </w:div>
            <w:div w:id="1812286359">
              <w:marLeft w:val="0"/>
              <w:marRight w:val="0"/>
              <w:marTop w:val="0"/>
              <w:marBottom w:val="0"/>
              <w:divBdr>
                <w:top w:val="none" w:sz="0" w:space="0" w:color="auto"/>
                <w:left w:val="none" w:sz="0" w:space="0" w:color="auto"/>
                <w:bottom w:val="none" w:sz="0" w:space="0" w:color="auto"/>
                <w:right w:val="none" w:sz="0" w:space="0" w:color="auto"/>
              </w:divBdr>
            </w:div>
            <w:div w:id="1812286360">
              <w:marLeft w:val="0"/>
              <w:marRight w:val="0"/>
              <w:marTop w:val="0"/>
              <w:marBottom w:val="0"/>
              <w:divBdr>
                <w:top w:val="none" w:sz="0" w:space="0" w:color="auto"/>
                <w:left w:val="none" w:sz="0" w:space="0" w:color="auto"/>
                <w:bottom w:val="none" w:sz="0" w:space="0" w:color="auto"/>
                <w:right w:val="none" w:sz="0" w:space="0" w:color="auto"/>
              </w:divBdr>
            </w:div>
            <w:div w:id="1812286361">
              <w:marLeft w:val="0"/>
              <w:marRight w:val="0"/>
              <w:marTop w:val="0"/>
              <w:marBottom w:val="0"/>
              <w:divBdr>
                <w:top w:val="none" w:sz="0" w:space="0" w:color="auto"/>
                <w:left w:val="none" w:sz="0" w:space="0" w:color="auto"/>
                <w:bottom w:val="none" w:sz="0" w:space="0" w:color="auto"/>
                <w:right w:val="none" w:sz="0" w:space="0" w:color="auto"/>
              </w:divBdr>
            </w:div>
            <w:div w:id="18122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6373">
      <w:marLeft w:val="0"/>
      <w:marRight w:val="0"/>
      <w:marTop w:val="0"/>
      <w:marBottom w:val="0"/>
      <w:divBdr>
        <w:top w:val="none" w:sz="0" w:space="0" w:color="auto"/>
        <w:left w:val="none" w:sz="0" w:space="0" w:color="auto"/>
        <w:bottom w:val="none" w:sz="0" w:space="0" w:color="auto"/>
        <w:right w:val="none" w:sz="0" w:space="0" w:color="auto"/>
      </w:divBdr>
      <w:divsChild>
        <w:div w:id="1812286364">
          <w:marLeft w:val="0"/>
          <w:marRight w:val="0"/>
          <w:marTop w:val="0"/>
          <w:marBottom w:val="0"/>
          <w:divBdr>
            <w:top w:val="none" w:sz="0" w:space="0" w:color="auto"/>
            <w:left w:val="none" w:sz="0" w:space="0" w:color="auto"/>
            <w:bottom w:val="none" w:sz="0" w:space="0" w:color="auto"/>
            <w:right w:val="none" w:sz="0" w:space="0" w:color="auto"/>
          </w:divBdr>
        </w:div>
        <w:div w:id="1812286365">
          <w:marLeft w:val="0"/>
          <w:marRight w:val="0"/>
          <w:marTop w:val="0"/>
          <w:marBottom w:val="0"/>
          <w:divBdr>
            <w:top w:val="none" w:sz="0" w:space="0" w:color="auto"/>
            <w:left w:val="none" w:sz="0" w:space="0" w:color="auto"/>
            <w:bottom w:val="none" w:sz="0" w:space="0" w:color="auto"/>
            <w:right w:val="none" w:sz="0" w:space="0" w:color="auto"/>
          </w:divBdr>
        </w:div>
        <w:div w:id="1812286366">
          <w:marLeft w:val="0"/>
          <w:marRight w:val="0"/>
          <w:marTop w:val="0"/>
          <w:marBottom w:val="0"/>
          <w:divBdr>
            <w:top w:val="none" w:sz="0" w:space="0" w:color="auto"/>
            <w:left w:val="none" w:sz="0" w:space="0" w:color="auto"/>
            <w:bottom w:val="none" w:sz="0" w:space="0" w:color="auto"/>
            <w:right w:val="none" w:sz="0" w:space="0" w:color="auto"/>
          </w:divBdr>
        </w:div>
        <w:div w:id="1812286367">
          <w:marLeft w:val="0"/>
          <w:marRight w:val="0"/>
          <w:marTop w:val="0"/>
          <w:marBottom w:val="0"/>
          <w:divBdr>
            <w:top w:val="none" w:sz="0" w:space="0" w:color="auto"/>
            <w:left w:val="none" w:sz="0" w:space="0" w:color="auto"/>
            <w:bottom w:val="none" w:sz="0" w:space="0" w:color="auto"/>
            <w:right w:val="none" w:sz="0" w:space="0" w:color="auto"/>
          </w:divBdr>
        </w:div>
        <w:div w:id="1812286368">
          <w:marLeft w:val="0"/>
          <w:marRight w:val="0"/>
          <w:marTop w:val="0"/>
          <w:marBottom w:val="0"/>
          <w:divBdr>
            <w:top w:val="none" w:sz="0" w:space="0" w:color="auto"/>
            <w:left w:val="none" w:sz="0" w:space="0" w:color="auto"/>
            <w:bottom w:val="none" w:sz="0" w:space="0" w:color="auto"/>
            <w:right w:val="none" w:sz="0" w:space="0" w:color="auto"/>
          </w:divBdr>
        </w:div>
        <w:div w:id="1812286369">
          <w:marLeft w:val="0"/>
          <w:marRight w:val="0"/>
          <w:marTop w:val="0"/>
          <w:marBottom w:val="0"/>
          <w:divBdr>
            <w:top w:val="none" w:sz="0" w:space="0" w:color="auto"/>
            <w:left w:val="none" w:sz="0" w:space="0" w:color="auto"/>
            <w:bottom w:val="none" w:sz="0" w:space="0" w:color="auto"/>
            <w:right w:val="none" w:sz="0" w:space="0" w:color="auto"/>
          </w:divBdr>
        </w:div>
        <w:div w:id="1812286370">
          <w:marLeft w:val="0"/>
          <w:marRight w:val="0"/>
          <w:marTop w:val="0"/>
          <w:marBottom w:val="0"/>
          <w:divBdr>
            <w:top w:val="none" w:sz="0" w:space="0" w:color="auto"/>
            <w:left w:val="none" w:sz="0" w:space="0" w:color="auto"/>
            <w:bottom w:val="none" w:sz="0" w:space="0" w:color="auto"/>
            <w:right w:val="none" w:sz="0" w:space="0" w:color="auto"/>
          </w:divBdr>
        </w:div>
        <w:div w:id="1812286371">
          <w:marLeft w:val="0"/>
          <w:marRight w:val="0"/>
          <w:marTop w:val="0"/>
          <w:marBottom w:val="0"/>
          <w:divBdr>
            <w:top w:val="none" w:sz="0" w:space="0" w:color="auto"/>
            <w:left w:val="none" w:sz="0" w:space="0" w:color="auto"/>
            <w:bottom w:val="none" w:sz="0" w:space="0" w:color="auto"/>
            <w:right w:val="none" w:sz="0" w:space="0" w:color="auto"/>
          </w:divBdr>
        </w:div>
        <w:div w:id="1812286372">
          <w:marLeft w:val="0"/>
          <w:marRight w:val="0"/>
          <w:marTop w:val="0"/>
          <w:marBottom w:val="0"/>
          <w:divBdr>
            <w:top w:val="none" w:sz="0" w:space="0" w:color="auto"/>
            <w:left w:val="none" w:sz="0" w:space="0" w:color="auto"/>
            <w:bottom w:val="none" w:sz="0" w:space="0" w:color="auto"/>
            <w:right w:val="none" w:sz="0" w:space="0" w:color="auto"/>
          </w:divBdr>
        </w:div>
        <w:div w:id="1812286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1344</Words>
  <Characters>7661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REDIGERE SU CARTA INTESTATA DELLA PARROCCHIA</dc:title>
  <dc:subject/>
  <dc:creator>Marco Da Ronch</dc:creator>
  <cp:keywords/>
  <dc:description/>
  <cp:lastModifiedBy>oem</cp:lastModifiedBy>
  <cp:revision>22</cp:revision>
  <cp:lastPrinted>2023-09-19T13:55:00Z</cp:lastPrinted>
  <dcterms:created xsi:type="dcterms:W3CDTF">2022-06-03T11:08:00Z</dcterms:created>
  <dcterms:modified xsi:type="dcterms:W3CDTF">2025-10-01T07:24:00Z</dcterms:modified>
</cp:coreProperties>
</file>