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0B52" w14:textId="77777777" w:rsidR="00311B3E" w:rsidRDefault="00311B3E" w:rsidP="002668B2">
      <w:pPr>
        <w:tabs>
          <w:tab w:val="left" w:pos="7938"/>
        </w:tabs>
        <w:ind w:right="-1" w:firstLine="170"/>
        <w:jc w:val="center"/>
        <w:rPr>
          <w:rFonts w:asciiTheme="minorHAnsi" w:hAnsiTheme="minorHAnsi" w:cstheme="minorHAnsi"/>
          <w:b/>
          <w:bCs/>
          <w:color w:val="C45911" w:themeColor="accent2" w:themeShade="BF"/>
          <w:sz w:val="36"/>
          <w:szCs w:val="36"/>
        </w:rPr>
      </w:pPr>
    </w:p>
    <w:p w14:paraId="7B804942" w14:textId="0DE9C3A3" w:rsidR="008E417D" w:rsidRPr="002668B2" w:rsidRDefault="002668B2" w:rsidP="002668B2">
      <w:pPr>
        <w:tabs>
          <w:tab w:val="left" w:pos="7938"/>
        </w:tabs>
        <w:ind w:right="-1" w:firstLine="170"/>
        <w:jc w:val="center"/>
        <w:rPr>
          <w:rFonts w:asciiTheme="minorHAnsi" w:hAnsiTheme="minorHAnsi" w:cstheme="minorHAnsi"/>
          <w:b/>
          <w:bCs/>
          <w:color w:val="C45911" w:themeColor="accent2" w:themeShade="BF"/>
          <w:sz w:val="36"/>
          <w:szCs w:val="36"/>
        </w:rPr>
      </w:pPr>
      <w:r w:rsidRPr="002668B2">
        <w:rPr>
          <w:rFonts w:asciiTheme="minorHAnsi" w:hAnsiTheme="minorHAnsi" w:cstheme="minorHAnsi"/>
          <w:b/>
          <w:bCs/>
          <w:color w:val="C45911" w:themeColor="accent2" w:themeShade="BF"/>
          <w:sz w:val="36"/>
          <w:szCs w:val="36"/>
        </w:rPr>
        <w:t>30 aprile</w:t>
      </w:r>
    </w:p>
    <w:p w14:paraId="13C8F1E5" w14:textId="77777777" w:rsidR="002668B2" w:rsidRDefault="002668B2" w:rsidP="002668B2">
      <w:pPr>
        <w:tabs>
          <w:tab w:val="left" w:pos="7938"/>
        </w:tabs>
        <w:ind w:right="-1" w:firstLine="170"/>
        <w:jc w:val="center"/>
        <w:rPr>
          <w:rFonts w:asciiTheme="minorHAnsi" w:hAnsiTheme="minorHAnsi" w:cstheme="minorHAnsi"/>
          <w:b/>
          <w:bCs/>
          <w:color w:val="000000"/>
          <w:sz w:val="36"/>
          <w:szCs w:val="36"/>
        </w:rPr>
      </w:pPr>
    </w:p>
    <w:p w14:paraId="26740B15" w14:textId="77777777" w:rsidR="002668B2" w:rsidRPr="00382A0C" w:rsidRDefault="002668B2" w:rsidP="002668B2">
      <w:pPr>
        <w:tabs>
          <w:tab w:val="left" w:pos="7938"/>
        </w:tabs>
        <w:ind w:right="-1" w:firstLine="170"/>
        <w:jc w:val="center"/>
        <w:rPr>
          <w:rFonts w:asciiTheme="minorHAnsi" w:hAnsiTheme="minorHAnsi" w:cstheme="minorHAnsi"/>
          <w:b/>
          <w:bCs/>
          <w:color w:val="000000"/>
          <w:sz w:val="36"/>
          <w:szCs w:val="36"/>
        </w:rPr>
      </w:pPr>
    </w:p>
    <w:p w14:paraId="7B738BB2" w14:textId="192C5708" w:rsidR="008E417D" w:rsidRPr="006C66ED" w:rsidRDefault="006C66ED" w:rsidP="006C66ED">
      <w:pPr>
        <w:tabs>
          <w:tab w:val="left" w:pos="7938"/>
        </w:tabs>
        <w:ind w:right="-1"/>
        <w:rPr>
          <w:rFonts w:asciiTheme="minorHAnsi" w:hAnsiTheme="minorHAnsi" w:cstheme="minorHAnsi"/>
          <w:b/>
          <w:bCs/>
          <w:color w:val="C45911" w:themeColor="accent2" w:themeShade="BF"/>
          <w:sz w:val="36"/>
          <w:szCs w:val="36"/>
        </w:rPr>
      </w:pPr>
      <w:r w:rsidRPr="006C66ED">
        <w:rPr>
          <w:rFonts w:asciiTheme="minorHAnsi" w:hAnsiTheme="minorHAnsi" w:cstheme="minorHAnsi"/>
          <w:b/>
          <w:bCs/>
          <w:color w:val="C45911" w:themeColor="accent2" w:themeShade="BF"/>
          <w:sz w:val="36"/>
          <w:szCs w:val="36"/>
        </w:rPr>
        <w:t>1.</w:t>
      </w:r>
      <w:r w:rsidR="00BA3018" w:rsidRPr="006C66ED">
        <w:rPr>
          <w:rFonts w:asciiTheme="minorHAnsi" w:hAnsiTheme="minorHAnsi" w:cstheme="minorHAnsi"/>
          <w:b/>
          <w:bCs/>
          <w:color w:val="C45911" w:themeColor="accent2" w:themeShade="BF"/>
          <w:sz w:val="36"/>
          <w:szCs w:val="36"/>
        </w:rPr>
        <w:t>La santità della Terra e di Gerusalemme</w:t>
      </w:r>
    </w:p>
    <w:p w14:paraId="222BA562" w14:textId="77777777" w:rsidR="00BA3018" w:rsidRPr="006C66ED" w:rsidRDefault="00BA3018" w:rsidP="00827117">
      <w:pPr>
        <w:tabs>
          <w:tab w:val="left" w:pos="7938"/>
        </w:tabs>
        <w:ind w:right="-1" w:firstLine="170"/>
        <w:jc w:val="both"/>
        <w:rPr>
          <w:rFonts w:asciiTheme="minorHAnsi" w:hAnsiTheme="minorHAnsi" w:cstheme="minorHAnsi"/>
          <w:color w:val="000000"/>
          <w:sz w:val="36"/>
          <w:szCs w:val="36"/>
        </w:rPr>
      </w:pPr>
    </w:p>
    <w:p w14:paraId="2D430F82" w14:textId="77777777" w:rsidR="00BA3018" w:rsidRPr="00382A0C" w:rsidRDefault="008E417D" w:rsidP="00827117">
      <w:pPr>
        <w:tabs>
          <w:tab w:val="left" w:pos="7938"/>
        </w:tabs>
        <w:ind w:right="-1" w:firstLine="170"/>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 xml:space="preserve">Il trattato </w:t>
      </w:r>
      <w:proofErr w:type="spellStart"/>
      <w:r w:rsidRPr="00382A0C">
        <w:rPr>
          <w:rFonts w:asciiTheme="minorHAnsi" w:hAnsiTheme="minorHAnsi" w:cstheme="minorHAnsi"/>
          <w:i/>
          <w:color w:val="000000"/>
          <w:sz w:val="36"/>
          <w:szCs w:val="36"/>
        </w:rPr>
        <w:t>Kelim</w:t>
      </w:r>
      <w:proofErr w:type="spellEnd"/>
      <w:r w:rsidRPr="00382A0C">
        <w:rPr>
          <w:rFonts w:asciiTheme="minorHAnsi" w:hAnsiTheme="minorHAnsi" w:cstheme="minorHAnsi"/>
          <w:color w:val="000000"/>
          <w:sz w:val="36"/>
          <w:szCs w:val="36"/>
        </w:rPr>
        <w:t xml:space="preserve"> (1,6-9) della </w:t>
      </w:r>
      <w:r w:rsidRPr="00382A0C">
        <w:rPr>
          <w:rFonts w:asciiTheme="minorHAnsi" w:hAnsiTheme="minorHAnsi" w:cstheme="minorHAnsi"/>
          <w:i/>
          <w:color w:val="000000"/>
          <w:sz w:val="36"/>
          <w:szCs w:val="36"/>
        </w:rPr>
        <w:t>Mis</w:t>
      </w:r>
      <w:r w:rsidR="00BA3018" w:rsidRPr="00382A0C">
        <w:rPr>
          <w:rFonts w:asciiTheme="minorHAnsi" w:hAnsiTheme="minorHAnsi" w:cstheme="minorHAnsi"/>
          <w:i/>
          <w:color w:val="000000"/>
          <w:sz w:val="36"/>
          <w:szCs w:val="36"/>
        </w:rPr>
        <w:t>hnah</w:t>
      </w:r>
      <w:r w:rsidRPr="00382A0C">
        <w:rPr>
          <w:rFonts w:asciiTheme="minorHAnsi" w:hAnsiTheme="minorHAnsi" w:cstheme="minorHAnsi"/>
          <w:color w:val="000000"/>
          <w:sz w:val="36"/>
          <w:szCs w:val="36"/>
        </w:rPr>
        <w:t xml:space="preserve"> propone un progressivo intensificarsi della santità della Terra d’Israele quanto più ci si avvicina al suo cuore costituito dal Santo dei Santi del Santuario di Gerusalemme. Si inizia affermando che Israele è più santa delle altre terre e poi si parla di gradi crescenti di santità in relazione alle città cinte di mura, all’area urbana di Gerusalemme, al monte Sion, allo </w:t>
      </w:r>
      <w:proofErr w:type="spellStart"/>
      <w:r w:rsidRPr="00382A0C">
        <w:rPr>
          <w:rFonts w:asciiTheme="minorHAnsi" w:hAnsiTheme="minorHAnsi" w:cstheme="minorHAnsi"/>
          <w:i/>
          <w:color w:val="000000"/>
          <w:sz w:val="36"/>
          <w:szCs w:val="36"/>
        </w:rPr>
        <w:t>hel</w:t>
      </w:r>
      <w:proofErr w:type="spellEnd"/>
      <w:r w:rsidRPr="00382A0C">
        <w:rPr>
          <w:rFonts w:asciiTheme="minorHAnsi" w:hAnsiTheme="minorHAnsi" w:cstheme="minorHAnsi"/>
          <w:color w:val="000000"/>
          <w:sz w:val="36"/>
          <w:szCs w:val="36"/>
        </w:rPr>
        <w:t xml:space="preserve"> (le mura del recinto del Santuario), al cortile delle donne, a quello dei figli d’Israele, a quello dei sacerdoti, allo spazio tra il vestibolo del Santuario e l’altare, al Santuario e al Santo dei Santi. </w:t>
      </w:r>
    </w:p>
    <w:p w14:paraId="30D34BED" w14:textId="68D5E615" w:rsidR="00C225AB" w:rsidRPr="00382A0C" w:rsidRDefault="008E417D" w:rsidP="00827117">
      <w:pPr>
        <w:tabs>
          <w:tab w:val="left" w:pos="7938"/>
        </w:tabs>
        <w:ind w:right="-1" w:firstLine="170"/>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 xml:space="preserve">Da questo brano si ricavano due conseguenze: Gerusalemme è santa solo perché è posta al centro della Terra d’Israele, mentre quest’ultima è, a propria volta, santa perché situata in rapporto con le altre terre. La santità si dà, dunque, solo nella relazione. Il discorso però non si arresta qui, nel brano della </w:t>
      </w:r>
      <w:r w:rsidRPr="00382A0C">
        <w:rPr>
          <w:rFonts w:asciiTheme="minorHAnsi" w:hAnsiTheme="minorHAnsi" w:cstheme="minorHAnsi"/>
          <w:i/>
          <w:color w:val="000000"/>
          <w:sz w:val="36"/>
          <w:szCs w:val="36"/>
        </w:rPr>
        <w:t>Mishn</w:t>
      </w:r>
      <w:r w:rsidR="00BA3018" w:rsidRPr="00382A0C">
        <w:rPr>
          <w:rFonts w:asciiTheme="minorHAnsi" w:hAnsiTheme="minorHAnsi" w:cstheme="minorHAnsi"/>
          <w:i/>
          <w:color w:val="000000"/>
          <w:sz w:val="36"/>
          <w:szCs w:val="36"/>
        </w:rPr>
        <w:t>ah</w:t>
      </w:r>
      <w:r w:rsidRPr="00382A0C">
        <w:rPr>
          <w:rFonts w:asciiTheme="minorHAnsi" w:hAnsiTheme="minorHAnsi" w:cstheme="minorHAnsi"/>
          <w:color w:val="000000"/>
          <w:sz w:val="36"/>
          <w:szCs w:val="36"/>
        </w:rPr>
        <w:t xml:space="preserve"> ogni passaggio è giustificato adducendo argomenti di natura halakica legati ad azioni o proibizioni. Per esempio, si afferma che la terra d’Israele è più santa di tutte le altre perché in essa valgono le regole dell’</w:t>
      </w:r>
      <w:r w:rsidRPr="00382A0C">
        <w:rPr>
          <w:rFonts w:asciiTheme="minorHAnsi" w:hAnsiTheme="minorHAnsi" w:cstheme="minorHAnsi"/>
          <w:i/>
          <w:color w:val="000000"/>
          <w:sz w:val="36"/>
          <w:szCs w:val="36"/>
        </w:rPr>
        <w:t>‘</w:t>
      </w:r>
      <w:proofErr w:type="spellStart"/>
      <w:r w:rsidRPr="00382A0C">
        <w:rPr>
          <w:rFonts w:asciiTheme="minorHAnsi" w:hAnsiTheme="minorHAnsi" w:cstheme="minorHAnsi"/>
          <w:i/>
          <w:color w:val="000000"/>
          <w:sz w:val="36"/>
          <w:szCs w:val="36"/>
        </w:rPr>
        <w:t>omer</w:t>
      </w:r>
      <w:proofErr w:type="spellEnd"/>
      <w:r w:rsidRPr="00382A0C">
        <w:rPr>
          <w:rFonts w:asciiTheme="minorHAnsi" w:hAnsiTheme="minorHAnsi" w:cstheme="minorHAnsi"/>
          <w:color w:val="000000"/>
          <w:sz w:val="36"/>
          <w:szCs w:val="36"/>
        </w:rPr>
        <w:t xml:space="preserve"> (covone) (cfr. Lev 23,10-15) e delle primizie; la santità delle città circondate da mura dipende dalla modalità di svolgimento dei funerali e così via. Tutti questi tipi di </w:t>
      </w:r>
      <w:r w:rsidR="00ED4D7C" w:rsidRPr="00382A0C">
        <w:rPr>
          <w:rFonts w:asciiTheme="minorHAnsi" w:hAnsiTheme="minorHAnsi" w:cstheme="minorHAnsi"/>
          <w:color w:val="000000"/>
          <w:sz w:val="36"/>
          <w:szCs w:val="36"/>
        </w:rPr>
        <w:t>precetti trovano</w:t>
      </w:r>
      <w:r w:rsidRPr="00382A0C">
        <w:rPr>
          <w:rFonts w:asciiTheme="minorHAnsi" w:hAnsiTheme="minorHAnsi" w:cstheme="minorHAnsi"/>
          <w:color w:val="000000"/>
          <w:sz w:val="36"/>
          <w:szCs w:val="36"/>
        </w:rPr>
        <w:t xml:space="preserve"> la loro consistenza solo all’interno di un rapporto reciproco tra terra</w:t>
      </w:r>
      <w:r w:rsidR="00ED4D7C" w:rsidRPr="00382A0C">
        <w:rPr>
          <w:rFonts w:asciiTheme="minorHAnsi" w:hAnsiTheme="minorHAnsi" w:cstheme="minorHAnsi"/>
          <w:color w:val="000000"/>
          <w:sz w:val="36"/>
          <w:szCs w:val="36"/>
        </w:rPr>
        <w:t xml:space="preserve">, </w:t>
      </w:r>
      <w:r w:rsidR="00ED4D7C" w:rsidRPr="00382A0C">
        <w:rPr>
          <w:rFonts w:asciiTheme="minorHAnsi" w:hAnsiTheme="minorHAnsi" w:cstheme="minorHAnsi"/>
          <w:color w:val="000000"/>
          <w:sz w:val="36"/>
          <w:szCs w:val="36"/>
        </w:rPr>
        <w:lastRenderedPageBreak/>
        <w:t>precetti</w:t>
      </w:r>
      <w:r w:rsidRPr="00382A0C">
        <w:rPr>
          <w:rFonts w:asciiTheme="minorHAnsi" w:hAnsiTheme="minorHAnsi" w:cstheme="minorHAnsi"/>
          <w:color w:val="000000"/>
          <w:sz w:val="36"/>
          <w:szCs w:val="36"/>
        </w:rPr>
        <w:t xml:space="preserve"> e popolo. La terra santa è tale in quanto santificata dall’ebreo </w:t>
      </w:r>
      <w:r w:rsidR="00ED4D7C" w:rsidRPr="00382A0C">
        <w:rPr>
          <w:rFonts w:asciiTheme="minorHAnsi" w:hAnsiTheme="minorHAnsi" w:cstheme="minorHAnsi"/>
          <w:color w:val="000000"/>
          <w:sz w:val="36"/>
          <w:szCs w:val="36"/>
        </w:rPr>
        <w:t xml:space="preserve">che osserva norme ad esse specifiche </w:t>
      </w:r>
      <w:r w:rsidRPr="00382A0C">
        <w:rPr>
          <w:rFonts w:asciiTheme="minorHAnsi" w:hAnsiTheme="minorHAnsi" w:cstheme="minorHAnsi"/>
          <w:color w:val="000000"/>
          <w:sz w:val="36"/>
          <w:szCs w:val="36"/>
        </w:rPr>
        <w:t xml:space="preserve">e nello stesso tempo l’ebreo è santificato dalla terra in cui risiede. </w:t>
      </w:r>
      <w:r w:rsidR="00ED4D7C" w:rsidRPr="00382A0C">
        <w:rPr>
          <w:rFonts w:asciiTheme="minorHAnsi" w:hAnsiTheme="minorHAnsi" w:cstheme="minorHAnsi"/>
          <w:color w:val="000000"/>
          <w:sz w:val="36"/>
          <w:szCs w:val="36"/>
        </w:rPr>
        <w:t xml:space="preserve">Lo </w:t>
      </w:r>
      <w:r w:rsidRPr="00382A0C">
        <w:rPr>
          <w:rFonts w:asciiTheme="minorHAnsi" w:hAnsiTheme="minorHAnsi" w:cstheme="minorHAnsi"/>
          <w:color w:val="000000"/>
          <w:sz w:val="36"/>
          <w:szCs w:val="36"/>
        </w:rPr>
        <w:t>scambio avvenire però solo in virtù di un terzo elemento, la parola della rivelazione, cioè la Tor</w:t>
      </w:r>
      <w:r w:rsidR="004E7258" w:rsidRPr="00382A0C">
        <w:rPr>
          <w:rFonts w:asciiTheme="minorHAnsi" w:hAnsiTheme="minorHAnsi" w:cstheme="minorHAnsi"/>
          <w:color w:val="000000"/>
          <w:sz w:val="36"/>
          <w:szCs w:val="36"/>
        </w:rPr>
        <w:t>a</w:t>
      </w:r>
      <w:r w:rsidR="00C225AB" w:rsidRPr="00382A0C">
        <w:rPr>
          <w:rFonts w:asciiTheme="minorHAnsi" w:hAnsiTheme="minorHAnsi" w:cstheme="minorHAnsi"/>
          <w:color w:val="000000"/>
          <w:sz w:val="36"/>
          <w:szCs w:val="36"/>
        </w:rPr>
        <w:t>h</w:t>
      </w:r>
      <w:r w:rsidRPr="00382A0C">
        <w:rPr>
          <w:rFonts w:asciiTheme="minorHAnsi" w:hAnsiTheme="minorHAnsi" w:cstheme="minorHAnsi"/>
          <w:color w:val="000000"/>
          <w:sz w:val="36"/>
          <w:szCs w:val="36"/>
        </w:rPr>
        <w:t>, che indica la via lungo la quale si può instaurare un legame reciproco. Davanti a queste prescrizioni non vi può essere alcun dubbio sul fatto che esse rappresentino motivi specificatamente ebraici per stabilire una forma di santità che non può essere ereditata né sostituita da altre tradizioni religiose: essa è pensabile esclusivamente entro la triangolazione costituita da Torah, popolo, terra d’Israele.</w:t>
      </w:r>
    </w:p>
    <w:p w14:paraId="18B90A4A" w14:textId="5FDA0B29" w:rsidR="008E417D" w:rsidRPr="00382A0C" w:rsidRDefault="008E417D" w:rsidP="00827117">
      <w:pPr>
        <w:tabs>
          <w:tab w:val="left" w:pos="7938"/>
        </w:tabs>
        <w:ind w:right="-1" w:firstLine="170"/>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 xml:space="preserve"> Il discorso non muta rivolgendosi a Gerusalemme. Non a caso, vi sono prescrizioni della </w:t>
      </w:r>
      <w:r w:rsidR="00C225AB" w:rsidRPr="00382A0C">
        <w:rPr>
          <w:rFonts w:asciiTheme="minorHAnsi" w:hAnsiTheme="minorHAnsi" w:cstheme="minorHAnsi"/>
          <w:i/>
          <w:color w:val="000000"/>
          <w:sz w:val="36"/>
          <w:szCs w:val="36"/>
        </w:rPr>
        <w:t>halakhah</w:t>
      </w:r>
      <w:r w:rsidR="00C225AB" w:rsidRPr="00382A0C">
        <w:rPr>
          <w:rFonts w:asciiTheme="minorHAnsi" w:hAnsiTheme="minorHAnsi" w:cstheme="minorHAnsi"/>
          <w:color w:val="000000"/>
          <w:sz w:val="36"/>
          <w:szCs w:val="36"/>
        </w:rPr>
        <w:t xml:space="preserve"> che</w:t>
      </w:r>
      <w:r w:rsidRPr="00382A0C">
        <w:rPr>
          <w:rFonts w:asciiTheme="minorHAnsi" w:hAnsiTheme="minorHAnsi" w:cstheme="minorHAnsi"/>
          <w:color w:val="000000"/>
          <w:sz w:val="36"/>
          <w:szCs w:val="36"/>
        </w:rPr>
        <w:t xml:space="preserve"> prevedono norme particolari relative alla città; per esempio, è proibito ai cortei funebri percorrerne le strade o allevare in essa animali da cortile; è invece raccomandato di piantarvi rose e così via.</w:t>
      </w:r>
      <w:r w:rsidRPr="00382A0C">
        <w:rPr>
          <w:rStyle w:val="Rimandonotaapidipagina"/>
          <w:rFonts w:asciiTheme="minorHAnsi" w:eastAsiaTheme="majorEastAsia" w:hAnsiTheme="minorHAnsi" w:cstheme="minorHAnsi"/>
          <w:color w:val="000000"/>
          <w:sz w:val="36"/>
          <w:szCs w:val="36"/>
        </w:rPr>
        <w:footnoteReference w:id="1"/>
      </w:r>
      <w:r w:rsidRPr="00382A0C">
        <w:rPr>
          <w:rFonts w:asciiTheme="minorHAnsi" w:hAnsiTheme="minorHAnsi" w:cstheme="minorHAnsi"/>
          <w:color w:val="000000"/>
          <w:sz w:val="36"/>
          <w:szCs w:val="36"/>
        </w:rPr>
        <w:t xml:space="preserve"> Non tutte queste normative hanno la stessa importanza: in ognuna di esse è però posto in evidenza il ruolo insostituibile riservato alla relazione tra terra e popolo.</w:t>
      </w:r>
    </w:p>
    <w:p w14:paraId="663EAA8C" w14:textId="77777777" w:rsidR="00986B32" w:rsidRPr="00382A0C" w:rsidRDefault="00986B32" w:rsidP="00827117">
      <w:pPr>
        <w:tabs>
          <w:tab w:val="left" w:pos="7938"/>
        </w:tabs>
        <w:ind w:right="-1" w:firstLine="170"/>
        <w:jc w:val="both"/>
        <w:rPr>
          <w:rFonts w:asciiTheme="minorHAnsi" w:hAnsiTheme="minorHAnsi" w:cstheme="minorHAnsi"/>
          <w:color w:val="000000"/>
          <w:sz w:val="36"/>
          <w:szCs w:val="36"/>
        </w:rPr>
      </w:pPr>
    </w:p>
    <w:p w14:paraId="0D21A7B6" w14:textId="77777777" w:rsidR="00986B32" w:rsidRPr="00382A0C" w:rsidRDefault="00986B32" w:rsidP="00827117">
      <w:pPr>
        <w:pStyle w:val="Rientrocorpodeltesto3"/>
        <w:spacing w:after="0" w:line="240" w:lineRule="auto"/>
        <w:ind w:left="0" w:firstLine="170"/>
        <w:rPr>
          <w:rFonts w:asciiTheme="minorHAnsi" w:hAnsiTheme="minorHAnsi"/>
          <w:sz w:val="36"/>
          <w:szCs w:val="36"/>
        </w:rPr>
      </w:pPr>
      <w:r w:rsidRPr="00382A0C">
        <w:rPr>
          <w:rFonts w:asciiTheme="minorHAnsi" w:hAnsiTheme="minorHAnsi"/>
          <w:sz w:val="36"/>
          <w:szCs w:val="36"/>
        </w:rPr>
        <w:t>nei lunghi dibattiti relativi al problema se esista o meno, qualora ce ne siano le condizioni storiche e sociali, la cosiddetta «</w:t>
      </w:r>
      <w:proofErr w:type="spellStart"/>
      <w:r w:rsidRPr="00382A0C">
        <w:rPr>
          <w:rFonts w:asciiTheme="minorHAnsi" w:hAnsiTheme="minorHAnsi"/>
          <w:i/>
          <w:sz w:val="36"/>
          <w:szCs w:val="36"/>
        </w:rPr>
        <w:t>mizwah</w:t>
      </w:r>
      <w:proofErr w:type="spellEnd"/>
      <w:r w:rsidRPr="00382A0C">
        <w:rPr>
          <w:rFonts w:asciiTheme="minorHAnsi" w:hAnsiTheme="minorHAnsi"/>
          <w:i/>
          <w:sz w:val="36"/>
          <w:szCs w:val="36"/>
        </w:rPr>
        <w:t xml:space="preserve"> </w:t>
      </w:r>
      <w:proofErr w:type="spellStart"/>
      <w:r w:rsidRPr="00382A0C">
        <w:rPr>
          <w:rFonts w:asciiTheme="minorHAnsi" w:hAnsiTheme="minorHAnsi"/>
          <w:i/>
          <w:sz w:val="36"/>
          <w:szCs w:val="36"/>
        </w:rPr>
        <w:t>yušuv</w:t>
      </w:r>
      <w:proofErr w:type="spellEnd"/>
      <w:r w:rsidRPr="00382A0C">
        <w:rPr>
          <w:rFonts w:asciiTheme="minorHAnsi" w:hAnsiTheme="minorHAnsi"/>
          <w:i/>
          <w:sz w:val="36"/>
          <w:szCs w:val="36"/>
        </w:rPr>
        <w:t xml:space="preserve"> </w:t>
      </w:r>
      <w:proofErr w:type="spellStart"/>
      <w:r w:rsidRPr="00382A0C">
        <w:rPr>
          <w:rFonts w:asciiTheme="minorHAnsi" w:hAnsiTheme="minorHAnsi"/>
          <w:i/>
          <w:sz w:val="36"/>
          <w:szCs w:val="36"/>
        </w:rPr>
        <w:t>Yiśrael</w:t>
      </w:r>
      <w:proofErr w:type="spellEnd"/>
      <w:r w:rsidRPr="00382A0C">
        <w:rPr>
          <w:rFonts w:asciiTheme="minorHAnsi" w:hAnsiTheme="minorHAnsi"/>
          <w:sz w:val="36"/>
          <w:szCs w:val="36"/>
        </w:rPr>
        <w:t>» (il precetto di stabilirsi in Terra d'Israele). Anche se ci fosse, si tratterebbe comunque di un precetto riferito a singoli o a gruppi limitati e non già esteso all'intero popolo ebraico. Mosè Maimonide nega la presenza di una simile</w:t>
      </w:r>
      <w:r w:rsidRPr="00382A0C">
        <w:rPr>
          <w:rFonts w:asciiTheme="minorHAnsi" w:hAnsiTheme="minorHAnsi"/>
          <w:i/>
          <w:sz w:val="36"/>
          <w:szCs w:val="36"/>
        </w:rPr>
        <w:t xml:space="preserve"> </w:t>
      </w:r>
      <w:proofErr w:type="spellStart"/>
      <w:r w:rsidRPr="00382A0C">
        <w:rPr>
          <w:rFonts w:asciiTheme="minorHAnsi" w:hAnsiTheme="minorHAnsi"/>
          <w:i/>
          <w:sz w:val="36"/>
          <w:szCs w:val="36"/>
        </w:rPr>
        <w:t>mizwah</w:t>
      </w:r>
      <w:proofErr w:type="spellEnd"/>
      <w:r w:rsidRPr="00382A0C">
        <w:rPr>
          <w:rFonts w:asciiTheme="minorHAnsi" w:hAnsiTheme="minorHAnsi"/>
          <w:sz w:val="36"/>
          <w:szCs w:val="36"/>
        </w:rPr>
        <w:t xml:space="preserve">, Mosè </w:t>
      </w:r>
      <w:proofErr w:type="spellStart"/>
      <w:r w:rsidRPr="00382A0C">
        <w:rPr>
          <w:rFonts w:asciiTheme="minorHAnsi" w:hAnsiTheme="minorHAnsi"/>
          <w:sz w:val="36"/>
          <w:szCs w:val="36"/>
        </w:rPr>
        <w:t>Nachmanide</w:t>
      </w:r>
      <w:proofErr w:type="spellEnd"/>
      <w:r w:rsidRPr="00382A0C">
        <w:rPr>
          <w:rFonts w:asciiTheme="minorHAnsi" w:hAnsiTheme="minorHAnsi"/>
          <w:sz w:val="36"/>
          <w:szCs w:val="36"/>
        </w:rPr>
        <w:t xml:space="preserve"> invece la afferma. Il grande intellettuale israeliano (di orientamento </w:t>
      </w:r>
      <w:proofErr w:type="spellStart"/>
      <w:r w:rsidRPr="00382A0C">
        <w:rPr>
          <w:rFonts w:asciiTheme="minorHAnsi" w:hAnsiTheme="minorHAnsi"/>
          <w:sz w:val="36"/>
          <w:szCs w:val="36"/>
        </w:rPr>
        <w:t>maimonideo</w:t>
      </w:r>
      <w:proofErr w:type="spellEnd"/>
      <w:r w:rsidRPr="00382A0C">
        <w:rPr>
          <w:rFonts w:asciiTheme="minorHAnsi" w:hAnsiTheme="minorHAnsi"/>
          <w:sz w:val="36"/>
          <w:szCs w:val="36"/>
        </w:rPr>
        <w:t xml:space="preserve">) </w:t>
      </w:r>
      <w:proofErr w:type="spellStart"/>
      <w:r w:rsidRPr="00382A0C">
        <w:rPr>
          <w:rFonts w:asciiTheme="minorHAnsi" w:hAnsiTheme="minorHAnsi"/>
          <w:sz w:val="36"/>
          <w:szCs w:val="36"/>
        </w:rPr>
        <w:t>Yeshayuah</w:t>
      </w:r>
      <w:proofErr w:type="spellEnd"/>
      <w:r w:rsidRPr="00382A0C">
        <w:rPr>
          <w:rFonts w:asciiTheme="minorHAnsi" w:hAnsiTheme="minorHAnsi"/>
          <w:sz w:val="36"/>
          <w:szCs w:val="36"/>
        </w:rPr>
        <w:t xml:space="preserve"> Leibowitz si espresse al riguardo in maniera molto netta: «ottanta generazioni di ebrei non riconobbero questo obbligo». Esistono senza dubbio vari precetti relativi al rapporto tra il </w:t>
      </w:r>
      <w:r w:rsidRPr="00382A0C">
        <w:rPr>
          <w:rFonts w:asciiTheme="minorHAnsi" w:hAnsiTheme="minorHAnsi"/>
          <w:sz w:val="36"/>
          <w:szCs w:val="36"/>
        </w:rPr>
        <w:lastRenderedPageBreak/>
        <w:t>popolo ebraico e la terra, essi però sono, per così dire, relativi, vincolano cioè unicamente coloro che risiedono in terra d'Israele.</w:t>
      </w:r>
      <w:r w:rsidRPr="00382A0C">
        <w:rPr>
          <w:rStyle w:val="Rimandonotaapidipagina"/>
          <w:rFonts w:asciiTheme="minorHAnsi" w:hAnsiTheme="minorHAnsi"/>
          <w:sz w:val="36"/>
          <w:szCs w:val="36"/>
        </w:rPr>
        <w:footnoteReference w:id="2"/>
      </w:r>
    </w:p>
    <w:p w14:paraId="69DD65ED" w14:textId="77777777" w:rsidR="00B74946" w:rsidRPr="00382A0C" w:rsidRDefault="00B74946" w:rsidP="00827117">
      <w:pPr>
        <w:tabs>
          <w:tab w:val="left" w:pos="7938"/>
        </w:tabs>
        <w:ind w:right="-1" w:firstLine="170"/>
        <w:jc w:val="both"/>
        <w:rPr>
          <w:rFonts w:asciiTheme="minorHAnsi" w:hAnsiTheme="minorHAnsi" w:cstheme="minorHAnsi"/>
          <w:color w:val="000000"/>
          <w:sz w:val="36"/>
          <w:szCs w:val="36"/>
        </w:rPr>
      </w:pPr>
    </w:p>
    <w:p w14:paraId="3C53FD87" w14:textId="77777777" w:rsidR="004E7258" w:rsidRPr="00382A0C" w:rsidRDefault="00B74946" w:rsidP="00827117">
      <w:pPr>
        <w:tabs>
          <w:tab w:val="left" w:pos="7938"/>
        </w:tabs>
        <w:ind w:right="-1" w:firstLine="170"/>
        <w:jc w:val="both"/>
        <w:rPr>
          <w:rFonts w:asciiTheme="minorHAnsi" w:hAnsiTheme="minorHAnsi" w:cstheme="minorHAnsi"/>
          <w:color w:val="000000"/>
          <w:sz w:val="36"/>
          <w:szCs w:val="36"/>
        </w:rPr>
      </w:pPr>
      <w:r w:rsidRPr="00382A0C">
        <w:rPr>
          <w:rFonts w:asciiTheme="minorHAnsi" w:hAnsiTheme="minorHAnsi" w:cstheme="minorHAnsi"/>
          <w:sz w:val="36"/>
          <w:szCs w:val="36"/>
        </w:rPr>
        <w:t>La santità della Terra nel cristianesimo è legata</w:t>
      </w:r>
      <w:r w:rsidR="004E7258" w:rsidRPr="00382A0C">
        <w:rPr>
          <w:rFonts w:asciiTheme="minorHAnsi" w:hAnsiTheme="minorHAnsi" w:cstheme="minorHAnsi"/>
          <w:sz w:val="36"/>
          <w:szCs w:val="36"/>
        </w:rPr>
        <w:t>,</w:t>
      </w:r>
      <w:r w:rsidRPr="00382A0C">
        <w:rPr>
          <w:rFonts w:asciiTheme="minorHAnsi" w:hAnsiTheme="minorHAnsi" w:cstheme="minorHAnsi"/>
          <w:sz w:val="36"/>
          <w:szCs w:val="36"/>
        </w:rPr>
        <w:t xml:space="preserve"> i</w:t>
      </w:r>
      <w:r w:rsidR="004E7258" w:rsidRPr="00382A0C">
        <w:rPr>
          <w:rFonts w:asciiTheme="minorHAnsi" w:hAnsiTheme="minorHAnsi" w:cstheme="minorHAnsi"/>
          <w:sz w:val="36"/>
          <w:szCs w:val="36"/>
        </w:rPr>
        <w:t>n</w:t>
      </w:r>
      <w:r w:rsidRPr="00382A0C">
        <w:rPr>
          <w:rFonts w:asciiTheme="minorHAnsi" w:hAnsiTheme="minorHAnsi" w:cstheme="minorHAnsi"/>
          <w:sz w:val="36"/>
          <w:szCs w:val="36"/>
        </w:rPr>
        <w:t xml:space="preserve"> primis</w:t>
      </w:r>
      <w:r w:rsidR="004E7258" w:rsidRPr="00382A0C">
        <w:rPr>
          <w:rFonts w:asciiTheme="minorHAnsi" w:hAnsiTheme="minorHAnsi" w:cstheme="minorHAnsi"/>
          <w:sz w:val="36"/>
          <w:szCs w:val="36"/>
        </w:rPr>
        <w:t>,</w:t>
      </w:r>
      <w:r w:rsidRPr="00382A0C">
        <w:rPr>
          <w:rFonts w:asciiTheme="minorHAnsi" w:hAnsiTheme="minorHAnsi" w:cstheme="minorHAnsi"/>
          <w:sz w:val="36"/>
          <w:szCs w:val="36"/>
        </w:rPr>
        <w:t xml:space="preserve"> all’idea di luoghi santi e alla pratica dei pellegrinaggi. </w:t>
      </w:r>
      <w:r w:rsidRPr="00382A0C">
        <w:rPr>
          <w:rFonts w:asciiTheme="minorHAnsi" w:hAnsiTheme="minorHAnsi" w:cstheme="minorHAnsi"/>
          <w:color w:val="000000"/>
          <w:sz w:val="36"/>
          <w:szCs w:val="36"/>
        </w:rPr>
        <w:t>L’esistenza di pellegrinaggi cristiani in Terra Santa dimostra che quello spazio è considerato particolare. La storia del fenomeno è complessa, passando attraverso fasi e manifestazioni diverse a seconda delle varie epoche.</w:t>
      </w:r>
      <w:r w:rsidRPr="00382A0C">
        <w:rPr>
          <w:rStyle w:val="Rimandonotaapidipagina"/>
          <w:rFonts w:asciiTheme="minorHAnsi" w:eastAsiaTheme="majorEastAsia" w:hAnsiTheme="minorHAnsi" w:cstheme="minorHAnsi"/>
          <w:color w:val="000000"/>
          <w:sz w:val="36"/>
          <w:szCs w:val="36"/>
        </w:rPr>
        <w:footnoteReference w:id="3"/>
      </w:r>
      <w:r w:rsidRPr="00382A0C">
        <w:rPr>
          <w:rFonts w:asciiTheme="minorHAnsi" w:hAnsiTheme="minorHAnsi" w:cstheme="minorHAnsi"/>
          <w:color w:val="000000"/>
          <w:sz w:val="36"/>
          <w:szCs w:val="36"/>
        </w:rPr>
        <w:t xml:space="preserve"> Restano alcuni punti fermi: </w:t>
      </w:r>
    </w:p>
    <w:p w14:paraId="7E61E140" w14:textId="77777777" w:rsidR="004E7258" w:rsidRPr="00382A0C" w:rsidRDefault="00B74946" w:rsidP="00827117">
      <w:pPr>
        <w:tabs>
          <w:tab w:val="left" w:pos="7938"/>
        </w:tabs>
        <w:ind w:right="-1"/>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 xml:space="preserve">primo, il pellegrinaggio in quanto tale non rappresenta un tratto fondativo richiesto dall’adesione alla fede cristiana (esso non è paragonabile al ruolo di pilastro assunto nell’islam dal pellegrinaggio alla Mecca); </w:t>
      </w:r>
    </w:p>
    <w:p w14:paraId="242C7979" w14:textId="77777777" w:rsidR="004E7258" w:rsidRPr="00382A0C" w:rsidRDefault="00B74946" w:rsidP="00827117">
      <w:pPr>
        <w:tabs>
          <w:tab w:val="left" w:pos="7938"/>
        </w:tabs>
        <w:ind w:right="-1"/>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 xml:space="preserve">secondo, non si può negare che nella tradizione cristiana ci sia stata una visione del «luoghi santi» intesi come memoriale della vita terrena di Gesù (l’affermazione secondo cui il Verbo si è fatto carne - </w:t>
      </w:r>
      <w:proofErr w:type="spellStart"/>
      <w:r w:rsidRPr="00382A0C">
        <w:rPr>
          <w:rFonts w:asciiTheme="minorHAnsi" w:hAnsiTheme="minorHAnsi" w:cstheme="minorHAnsi"/>
          <w:color w:val="000000"/>
          <w:sz w:val="36"/>
          <w:szCs w:val="36"/>
        </w:rPr>
        <w:t>Gv</w:t>
      </w:r>
      <w:proofErr w:type="spellEnd"/>
      <w:r w:rsidRPr="00382A0C">
        <w:rPr>
          <w:rFonts w:asciiTheme="minorHAnsi" w:hAnsiTheme="minorHAnsi" w:cstheme="minorHAnsi"/>
          <w:color w:val="000000"/>
          <w:sz w:val="36"/>
          <w:szCs w:val="36"/>
        </w:rPr>
        <w:t xml:space="preserve"> 1,14 - «ebbe come corollario che divenne significativo dove ciò è avvenuto»</w:t>
      </w:r>
      <w:r w:rsidRPr="00382A0C">
        <w:rPr>
          <w:rStyle w:val="Rimandonotaapidipagina"/>
          <w:rFonts w:asciiTheme="minorHAnsi" w:eastAsiaTheme="majorEastAsia" w:hAnsiTheme="minorHAnsi" w:cstheme="minorHAnsi"/>
          <w:color w:val="000000"/>
          <w:sz w:val="36"/>
          <w:szCs w:val="36"/>
        </w:rPr>
        <w:footnoteReference w:id="4"/>
      </w:r>
      <w:r w:rsidRPr="00382A0C">
        <w:rPr>
          <w:rFonts w:asciiTheme="minorHAnsi" w:hAnsiTheme="minorHAnsi" w:cstheme="minorHAnsi"/>
          <w:color w:val="000000"/>
          <w:sz w:val="36"/>
          <w:szCs w:val="36"/>
        </w:rPr>
        <w:t xml:space="preserve">); </w:t>
      </w:r>
    </w:p>
    <w:p w14:paraId="6D9C36DF" w14:textId="277A917F" w:rsidR="00B74946" w:rsidRPr="00382A0C" w:rsidRDefault="00B74946" w:rsidP="00827117">
      <w:pPr>
        <w:tabs>
          <w:tab w:val="left" w:pos="7938"/>
        </w:tabs>
        <w:ind w:right="-1"/>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terzo, il pellegrinaggio, per sua intrinseca natura, esige che chi vi partecipa non risieda stabilmente nei luoghi che si vanno a visitare.</w:t>
      </w:r>
    </w:p>
    <w:p w14:paraId="1CF1F9EE" w14:textId="2344637C" w:rsidR="00B74946" w:rsidRPr="00382A0C" w:rsidRDefault="00B74946" w:rsidP="00827117">
      <w:pPr>
        <w:tabs>
          <w:tab w:val="left" w:pos="853"/>
          <w:tab w:val="left" w:pos="7938"/>
        </w:tabs>
        <w:ind w:right="-1" w:firstLine="170"/>
        <w:jc w:val="both"/>
        <w:rPr>
          <w:rFonts w:asciiTheme="minorHAnsi" w:hAnsiTheme="minorHAnsi" w:cstheme="minorHAnsi"/>
          <w:color w:val="000000"/>
          <w:sz w:val="36"/>
          <w:szCs w:val="36"/>
        </w:rPr>
      </w:pPr>
      <w:r w:rsidRPr="00382A0C">
        <w:rPr>
          <w:rFonts w:asciiTheme="minorHAnsi" w:hAnsiTheme="minorHAnsi" w:cstheme="minorHAnsi"/>
          <w:color w:val="000000"/>
          <w:sz w:val="36"/>
          <w:szCs w:val="36"/>
        </w:rPr>
        <w:t>Nella tradizione cristiana vi è uno spazio</w:t>
      </w:r>
      <w:r w:rsidR="004E7258" w:rsidRPr="00382A0C">
        <w:rPr>
          <w:rFonts w:asciiTheme="minorHAnsi" w:hAnsiTheme="minorHAnsi" w:cstheme="minorHAnsi"/>
          <w:color w:val="000000"/>
          <w:sz w:val="36"/>
          <w:szCs w:val="36"/>
        </w:rPr>
        <w:t xml:space="preserve"> </w:t>
      </w:r>
      <w:r w:rsidRPr="00382A0C">
        <w:rPr>
          <w:rFonts w:asciiTheme="minorHAnsi" w:hAnsiTheme="minorHAnsi" w:cstheme="minorHAnsi"/>
          <w:color w:val="000000"/>
          <w:sz w:val="36"/>
          <w:szCs w:val="36"/>
        </w:rPr>
        <w:t xml:space="preserve">per contrassegnare luoghi che più di altri portano il segno dell’incarnazione reale del Verbo; ciò però è tutt’altra cosa da quanto avviene nell’ebraismo stando al quale la particolarità dell’intera Terra d’Israele è stabilita in virtù da una relazione tra essa e il </w:t>
      </w:r>
      <w:r w:rsidRPr="00382A0C">
        <w:rPr>
          <w:rFonts w:asciiTheme="minorHAnsi" w:hAnsiTheme="minorHAnsi" w:cstheme="minorHAnsi"/>
          <w:color w:val="000000"/>
          <w:sz w:val="36"/>
          <w:szCs w:val="36"/>
        </w:rPr>
        <w:lastRenderedPageBreak/>
        <w:t>popolo che vive secondo i dettami della Tor</w:t>
      </w:r>
      <w:r w:rsidR="004E7258" w:rsidRPr="00382A0C">
        <w:rPr>
          <w:rFonts w:asciiTheme="minorHAnsi" w:hAnsiTheme="minorHAnsi" w:cstheme="minorHAnsi"/>
          <w:color w:val="000000"/>
          <w:sz w:val="36"/>
          <w:szCs w:val="36"/>
        </w:rPr>
        <w:t>ah</w:t>
      </w:r>
      <w:r w:rsidRPr="00382A0C">
        <w:rPr>
          <w:rFonts w:asciiTheme="minorHAnsi" w:hAnsiTheme="minorHAnsi" w:cstheme="minorHAnsi"/>
          <w:color w:val="000000"/>
          <w:sz w:val="36"/>
          <w:szCs w:val="36"/>
        </w:rPr>
        <w:t xml:space="preserve">. Da ciò deriva, in linea di principio, </w:t>
      </w:r>
      <w:r w:rsidR="004E7258" w:rsidRPr="00382A0C">
        <w:rPr>
          <w:rFonts w:asciiTheme="minorHAnsi" w:hAnsiTheme="minorHAnsi" w:cstheme="minorHAnsi"/>
          <w:color w:val="000000"/>
          <w:sz w:val="36"/>
          <w:szCs w:val="36"/>
        </w:rPr>
        <w:t xml:space="preserve">che nel caso </w:t>
      </w:r>
      <w:r w:rsidR="00C6658C" w:rsidRPr="00382A0C">
        <w:rPr>
          <w:rFonts w:asciiTheme="minorHAnsi" w:hAnsiTheme="minorHAnsi" w:cstheme="minorHAnsi"/>
          <w:color w:val="000000"/>
          <w:sz w:val="36"/>
          <w:szCs w:val="36"/>
        </w:rPr>
        <w:t>in cui</w:t>
      </w:r>
      <w:r w:rsidR="004E7258" w:rsidRPr="00382A0C">
        <w:rPr>
          <w:rFonts w:asciiTheme="minorHAnsi" w:hAnsiTheme="minorHAnsi" w:cstheme="minorHAnsi"/>
          <w:color w:val="000000"/>
          <w:sz w:val="36"/>
          <w:szCs w:val="36"/>
        </w:rPr>
        <w:t xml:space="preserve"> il</w:t>
      </w:r>
      <w:r w:rsidRPr="00382A0C">
        <w:rPr>
          <w:rFonts w:asciiTheme="minorHAnsi" w:hAnsiTheme="minorHAnsi" w:cstheme="minorHAnsi"/>
          <w:color w:val="000000"/>
          <w:sz w:val="36"/>
          <w:szCs w:val="36"/>
        </w:rPr>
        <w:t xml:space="preserve"> luogo santo cristiano </w:t>
      </w:r>
      <w:r w:rsidR="004E7258" w:rsidRPr="00382A0C">
        <w:rPr>
          <w:rFonts w:asciiTheme="minorHAnsi" w:hAnsiTheme="minorHAnsi" w:cstheme="minorHAnsi"/>
          <w:color w:val="000000"/>
          <w:sz w:val="36"/>
          <w:szCs w:val="36"/>
        </w:rPr>
        <w:t>venga</w:t>
      </w:r>
      <w:r w:rsidRPr="00382A0C">
        <w:rPr>
          <w:rFonts w:asciiTheme="minorHAnsi" w:hAnsiTheme="minorHAnsi" w:cstheme="minorHAnsi"/>
          <w:color w:val="000000"/>
          <w:sz w:val="36"/>
          <w:szCs w:val="36"/>
        </w:rPr>
        <w:t xml:space="preserve"> recepito come spazio memoriale di un evento, non può sorgere alcun conflitto tra esso e la presenza ebraica che caratterizzava l’ambiente entro cui l’avvenimento ebbe luogo. Anzi, si potrebbe giungere ad affermare che per un luogo santo cristiano di Terra santa non c’è collocazione più appropriata di situarlo in un contesto ebraico. </w:t>
      </w:r>
    </w:p>
    <w:p w14:paraId="4D55CBE5" w14:textId="0A0DEF1D" w:rsidR="008E417D" w:rsidRPr="00382A0C" w:rsidRDefault="00B74946" w:rsidP="00827117">
      <w:pPr>
        <w:ind w:firstLine="170"/>
        <w:jc w:val="both"/>
        <w:rPr>
          <w:rFonts w:asciiTheme="minorHAnsi" w:hAnsiTheme="minorHAnsi" w:cstheme="minorHAnsi"/>
          <w:sz w:val="36"/>
          <w:szCs w:val="36"/>
        </w:rPr>
      </w:pPr>
      <w:r w:rsidRPr="00382A0C">
        <w:rPr>
          <w:rFonts w:asciiTheme="minorHAnsi" w:hAnsiTheme="minorHAnsi" w:cstheme="minorHAnsi"/>
          <w:color w:val="000000"/>
          <w:sz w:val="36"/>
          <w:szCs w:val="36"/>
        </w:rPr>
        <w:t>Per sua intima natura il «luogo santo» è ben diverso dalla «terra santa» colta in senso ebraico: il primo è basato su una traccia memoriale, mentre la seconda è fondata su una relazione. La tradizione cristiana non ha in proprio nessuna ragione per fondare la santità della Terra d’Israele nella sua globalità, a meno di non percorrere la via, discutibile e marginale, di intenderla come un fittissimo reticolato di luoghi santi. Questa opzione fu, per esempio, fatta propria, a cavallo tra XV e XVI secolo, da Francesco Suriano, custode francescano di Terra santa, il quale affermò che non c’era posto nell’intera Palestina che non fosse stato toccato dai «</w:t>
      </w:r>
      <w:proofErr w:type="spellStart"/>
      <w:r w:rsidRPr="00382A0C">
        <w:rPr>
          <w:rFonts w:asciiTheme="minorHAnsi" w:hAnsiTheme="minorHAnsi" w:cstheme="minorHAnsi"/>
          <w:color w:val="000000"/>
          <w:sz w:val="36"/>
          <w:szCs w:val="36"/>
        </w:rPr>
        <w:t>sanctissimi</w:t>
      </w:r>
      <w:proofErr w:type="spellEnd"/>
      <w:r w:rsidRPr="00382A0C">
        <w:rPr>
          <w:rFonts w:asciiTheme="minorHAnsi" w:hAnsiTheme="minorHAnsi" w:cstheme="minorHAnsi"/>
          <w:color w:val="000000"/>
          <w:sz w:val="36"/>
          <w:szCs w:val="36"/>
        </w:rPr>
        <w:t xml:space="preserve"> piedi» di Gesù.</w:t>
      </w:r>
      <w:r w:rsidRPr="00382A0C">
        <w:rPr>
          <w:rStyle w:val="Rimandonotaapidipagina"/>
          <w:rFonts w:asciiTheme="minorHAnsi" w:eastAsiaTheme="majorEastAsia" w:hAnsiTheme="minorHAnsi" w:cstheme="minorHAnsi"/>
          <w:color w:val="000000"/>
          <w:sz w:val="36"/>
          <w:szCs w:val="36"/>
        </w:rPr>
        <w:footnoteReference w:id="5"/>
      </w:r>
      <w:r w:rsidRPr="00382A0C">
        <w:rPr>
          <w:rFonts w:asciiTheme="minorHAnsi" w:hAnsiTheme="minorHAnsi" w:cstheme="minorHAnsi"/>
          <w:color w:val="000000"/>
          <w:sz w:val="36"/>
          <w:szCs w:val="36"/>
        </w:rPr>
        <w:t xml:space="preserve"> Tuttavia la presenza dei ‘luoghi santi’ ha consentito per lunghissimo tempo a una Chiesa cattolica</w:t>
      </w:r>
    </w:p>
    <w:p w14:paraId="3E7D16C3" w14:textId="77777777" w:rsidR="00C225AB" w:rsidRPr="00382A0C" w:rsidRDefault="00C225AB" w:rsidP="00827117">
      <w:pPr>
        <w:ind w:firstLine="170"/>
        <w:jc w:val="both"/>
        <w:rPr>
          <w:rFonts w:asciiTheme="minorHAnsi" w:hAnsiTheme="minorHAnsi" w:cstheme="minorHAnsi"/>
          <w:sz w:val="36"/>
          <w:szCs w:val="36"/>
        </w:rPr>
      </w:pPr>
    </w:p>
    <w:p w14:paraId="09CF4910" w14:textId="77777777" w:rsidR="00C225AB" w:rsidRPr="00382A0C" w:rsidRDefault="00C225AB" w:rsidP="00827117">
      <w:pPr>
        <w:ind w:firstLine="170"/>
        <w:jc w:val="both"/>
        <w:rPr>
          <w:rFonts w:asciiTheme="minorHAnsi" w:hAnsiTheme="minorHAnsi" w:cstheme="minorHAnsi"/>
          <w:sz w:val="36"/>
          <w:szCs w:val="36"/>
        </w:rPr>
      </w:pPr>
    </w:p>
    <w:p w14:paraId="5F799F5E" w14:textId="3079C810" w:rsidR="00C225AB" w:rsidRPr="00382A0C" w:rsidRDefault="00737B69" w:rsidP="00827117">
      <w:pPr>
        <w:ind w:firstLine="170"/>
        <w:jc w:val="both"/>
        <w:rPr>
          <w:rFonts w:asciiTheme="minorHAnsi" w:hAnsiTheme="minorHAnsi" w:cstheme="minorHAnsi"/>
          <w:b/>
          <w:bCs/>
          <w:color w:val="C45911" w:themeColor="accent2" w:themeShade="BF"/>
          <w:sz w:val="36"/>
          <w:szCs w:val="36"/>
        </w:rPr>
      </w:pPr>
      <w:r w:rsidRPr="00382A0C">
        <w:rPr>
          <w:rFonts w:asciiTheme="minorHAnsi" w:hAnsiTheme="minorHAnsi" w:cstheme="minorHAnsi"/>
          <w:b/>
          <w:bCs/>
          <w:color w:val="C45911" w:themeColor="accent2" w:themeShade="BF"/>
          <w:sz w:val="36"/>
          <w:szCs w:val="36"/>
        </w:rPr>
        <w:t xml:space="preserve">2. </w:t>
      </w:r>
      <w:r w:rsidR="000332D7" w:rsidRPr="00382A0C">
        <w:rPr>
          <w:rFonts w:asciiTheme="minorHAnsi" w:hAnsiTheme="minorHAnsi" w:cstheme="minorHAnsi"/>
          <w:b/>
          <w:bCs/>
          <w:color w:val="C45911" w:themeColor="accent2" w:themeShade="BF"/>
          <w:sz w:val="36"/>
          <w:szCs w:val="36"/>
        </w:rPr>
        <w:t>Il Cantico dei cantici e la dottrina dei «tre giuramenti»</w:t>
      </w:r>
    </w:p>
    <w:p w14:paraId="45BFF969" w14:textId="5E931D78" w:rsidR="000332D7" w:rsidRPr="00382A0C" w:rsidRDefault="00737B69" w:rsidP="00827117">
      <w:pPr>
        <w:jc w:val="both"/>
        <w:rPr>
          <w:rFonts w:ascii="Calibri" w:hAnsi="Calibri" w:cs="Calibri"/>
          <w:iCs/>
          <w:sz w:val="36"/>
          <w:szCs w:val="36"/>
        </w:rPr>
      </w:pPr>
      <w:r w:rsidRPr="00382A0C">
        <w:rPr>
          <w:rFonts w:ascii="Calibri" w:hAnsi="Calibri" w:cs="Calibri"/>
          <w:iCs/>
          <w:sz w:val="36"/>
          <w:szCs w:val="36"/>
        </w:rPr>
        <w:t>2.1. La</w:t>
      </w:r>
      <w:r w:rsidR="000332D7" w:rsidRPr="00382A0C">
        <w:rPr>
          <w:rFonts w:ascii="Calibri" w:hAnsi="Calibri" w:cs="Calibri"/>
          <w:iCs/>
          <w:sz w:val="36"/>
          <w:szCs w:val="36"/>
        </w:rPr>
        <w:t xml:space="preserve"> lettura allegorica è un approccio che ha dominato per secoli la interpretazione del </w:t>
      </w:r>
      <w:r w:rsidR="000332D7" w:rsidRPr="00382A0C">
        <w:rPr>
          <w:rFonts w:ascii="Calibri" w:hAnsi="Calibri" w:cs="Calibri"/>
          <w:i/>
          <w:sz w:val="36"/>
          <w:szCs w:val="36"/>
        </w:rPr>
        <w:t xml:space="preserve">Cantico dei cantici. </w:t>
      </w:r>
      <w:r w:rsidR="000332D7" w:rsidRPr="00382A0C">
        <w:rPr>
          <w:rFonts w:ascii="Calibri" w:hAnsi="Calibri" w:cs="Calibri"/>
          <w:iCs/>
          <w:sz w:val="36"/>
          <w:szCs w:val="36"/>
        </w:rPr>
        <w:t xml:space="preserve"> Diviene allora qualificante sapere chi sono i soggetti di questa interpretazione. </w:t>
      </w:r>
    </w:p>
    <w:p w14:paraId="70D01565" w14:textId="4CDE7177" w:rsidR="000332D7" w:rsidRPr="00382A0C" w:rsidRDefault="00737B69" w:rsidP="00827117">
      <w:pPr>
        <w:ind w:firstLine="170"/>
        <w:jc w:val="both"/>
        <w:rPr>
          <w:rFonts w:ascii="Calibri" w:hAnsi="Calibri" w:cs="Calibri"/>
          <w:iCs/>
          <w:sz w:val="36"/>
          <w:szCs w:val="36"/>
        </w:rPr>
      </w:pPr>
      <w:r w:rsidRPr="00382A0C">
        <w:rPr>
          <w:rFonts w:ascii="Calibri" w:hAnsi="Calibri" w:cs="Calibri"/>
          <w:iCs/>
          <w:sz w:val="36"/>
          <w:szCs w:val="36"/>
        </w:rPr>
        <w:lastRenderedPageBreak/>
        <w:t>2.</w:t>
      </w:r>
      <w:r w:rsidR="000332D7" w:rsidRPr="00382A0C">
        <w:rPr>
          <w:rFonts w:ascii="Calibri" w:hAnsi="Calibri" w:cs="Calibri"/>
          <w:iCs/>
          <w:sz w:val="36"/>
          <w:szCs w:val="36"/>
        </w:rPr>
        <w:t>2.</w:t>
      </w:r>
      <w:r w:rsidRPr="00382A0C">
        <w:rPr>
          <w:rFonts w:ascii="Calibri" w:hAnsi="Calibri" w:cs="Calibri"/>
          <w:iCs/>
          <w:sz w:val="36"/>
          <w:szCs w:val="36"/>
        </w:rPr>
        <w:t xml:space="preserve"> </w:t>
      </w:r>
      <w:r w:rsidR="000332D7" w:rsidRPr="00382A0C">
        <w:rPr>
          <w:rFonts w:ascii="Calibri" w:hAnsi="Calibri" w:cs="Calibri"/>
          <w:iCs/>
          <w:sz w:val="36"/>
          <w:szCs w:val="36"/>
        </w:rPr>
        <w:t xml:space="preserve">L’Occidente ha colto il </w:t>
      </w:r>
      <w:r w:rsidR="000332D7" w:rsidRPr="00382A0C">
        <w:rPr>
          <w:rFonts w:ascii="Calibri" w:hAnsi="Calibri" w:cs="Calibri"/>
          <w:i/>
          <w:sz w:val="36"/>
          <w:szCs w:val="36"/>
        </w:rPr>
        <w:t>Cantico</w:t>
      </w:r>
      <w:r w:rsidR="000332D7" w:rsidRPr="00382A0C">
        <w:rPr>
          <w:rFonts w:ascii="Calibri" w:hAnsi="Calibri" w:cs="Calibri"/>
          <w:iCs/>
          <w:sz w:val="36"/>
          <w:szCs w:val="36"/>
        </w:rPr>
        <w:t xml:space="preserve"> attribuendo il primato alla voce di lei che si dona a lui. La presenza di un «terzo» appare, con qualche eccezione (cfr. Origine), priva di significato. L’appello alle «figlie di Gerusalemme», che trascorre da una parte all’altra dello </w:t>
      </w:r>
      <w:r w:rsidR="000332D7" w:rsidRPr="00382A0C">
        <w:rPr>
          <w:rFonts w:ascii="Calibri" w:hAnsi="Calibri" w:cs="Calibri"/>
          <w:i/>
          <w:sz w:val="36"/>
          <w:szCs w:val="36"/>
        </w:rPr>
        <w:t>Shir ha-</w:t>
      </w:r>
      <w:proofErr w:type="spellStart"/>
      <w:r w:rsidR="000332D7" w:rsidRPr="00382A0C">
        <w:rPr>
          <w:rFonts w:ascii="Calibri" w:hAnsi="Calibri" w:cs="Calibri"/>
          <w:i/>
          <w:sz w:val="36"/>
          <w:szCs w:val="36"/>
        </w:rPr>
        <w:t>Shirim</w:t>
      </w:r>
      <w:proofErr w:type="spellEnd"/>
      <w:r w:rsidR="000332D7" w:rsidRPr="00382A0C">
        <w:rPr>
          <w:rFonts w:ascii="Calibri" w:hAnsi="Calibri" w:cs="Calibri"/>
          <w:iCs/>
          <w:sz w:val="36"/>
          <w:szCs w:val="36"/>
        </w:rPr>
        <w:t>,</w:t>
      </w:r>
      <w:r w:rsidR="000332D7" w:rsidRPr="00382A0C">
        <w:rPr>
          <w:rFonts w:ascii="Calibri" w:hAnsi="Calibri" w:cs="Calibri"/>
          <w:i/>
          <w:sz w:val="36"/>
          <w:szCs w:val="36"/>
        </w:rPr>
        <w:t xml:space="preserve"> </w:t>
      </w:r>
      <w:r w:rsidR="000332D7" w:rsidRPr="00382A0C">
        <w:rPr>
          <w:rFonts w:ascii="Calibri" w:hAnsi="Calibri" w:cs="Calibri"/>
          <w:iCs/>
          <w:sz w:val="36"/>
          <w:szCs w:val="36"/>
        </w:rPr>
        <w:t xml:space="preserve">suona ridondante.  Tutto diverso l’approccio tradizionale ebraico. Il punto discriminante non è solo quello, scontato, di prospettare un differente tipo di </w:t>
      </w:r>
      <w:proofErr w:type="spellStart"/>
      <w:r w:rsidR="000332D7" w:rsidRPr="00382A0C">
        <w:rPr>
          <w:rFonts w:ascii="Calibri" w:hAnsi="Calibri" w:cs="Calibri"/>
          <w:iCs/>
          <w:sz w:val="36"/>
          <w:szCs w:val="36"/>
        </w:rPr>
        <w:t>allegoresi</w:t>
      </w:r>
      <w:proofErr w:type="spellEnd"/>
      <w:r w:rsidR="000332D7" w:rsidRPr="00382A0C">
        <w:rPr>
          <w:rFonts w:ascii="Calibri" w:hAnsi="Calibri" w:cs="Calibri"/>
          <w:iCs/>
          <w:sz w:val="36"/>
          <w:szCs w:val="36"/>
        </w:rPr>
        <w:t xml:space="preserve">, incentrata </w:t>
      </w:r>
      <w:r w:rsidRPr="00382A0C">
        <w:rPr>
          <w:rFonts w:ascii="Calibri" w:hAnsi="Calibri" w:cs="Calibri"/>
          <w:iCs/>
          <w:sz w:val="36"/>
          <w:szCs w:val="36"/>
        </w:rPr>
        <w:t>sul rapporto</w:t>
      </w:r>
      <w:r w:rsidR="000332D7" w:rsidRPr="00382A0C">
        <w:rPr>
          <w:rFonts w:ascii="Calibri" w:hAnsi="Calibri" w:cs="Calibri"/>
          <w:iCs/>
          <w:sz w:val="36"/>
          <w:szCs w:val="36"/>
        </w:rPr>
        <w:t xml:space="preserve"> tra il popolo d’ Israele e il suo Signore (</w:t>
      </w:r>
      <w:proofErr w:type="spellStart"/>
      <w:r w:rsidRPr="00382A0C">
        <w:rPr>
          <w:rFonts w:ascii="Calibri" w:hAnsi="Calibri" w:cs="Calibri"/>
          <w:iCs/>
          <w:smallCaps/>
          <w:sz w:val="36"/>
          <w:szCs w:val="36"/>
        </w:rPr>
        <w:t>Y</w:t>
      </w:r>
      <w:r w:rsidR="000332D7" w:rsidRPr="00382A0C">
        <w:rPr>
          <w:rFonts w:ascii="Calibri" w:hAnsi="Calibri" w:cs="Calibri"/>
          <w:iCs/>
          <w:smallCaps/>
          <w:sz w:val="36"/>
          <w:szCs w:val="36"/>
        </w:rPr>
        <w:t>hwh</w:t>
      </w:r>
      <w:proofErr w:type="spellEnd"/>
      <w:r w:rsidR="000332D7" w:rsidRPr="00382A0C">
        <w:rPr>
          <w:rFonts w:ascii="Calibri" w:hAnsi="Calibri" w:cs="Calibri"/>
          <w:iCs/>
          <w:smallCaps/>
          <w:sz w:val="36"/>
          <w:szCs w:val="36"/>
        </w:rPr>
        <w:t xml:space="preserve">); </w:t>
      </w:r>
      <w:r w:rsidR="000332D7" w:rsidRPr="00382A0C">
        <w:rPr>
          <w:rFonts w:ascii="Calibri" w:hAnsi="Calibri" w:cs="Calibri"/>
          <w:iCs/>
          <w:sz w:val="36"/>
          <w:szCs w:val="36"/>
        </w:rPr>
        <w:t xml:space="preserve">altrettanto deciso è il fatto che qui non si possa ignorare la componente terza. </w:t>
      </w:r>
      <w:r w:rsidRPr="00382A0C">
        <w:rPr>
          <w:rFonts w:ascii="Calibri" w:hAnsi="Calibri" w:cs="Calibri"/>
          <w:iCs/>
          <w:sz w:val="36"/>
          <w:szCs w:val="36"/>
        </w:rPr>
        <w:t>Nell’ermeneutica rabbinica l</w:t>
      </w:r>
      <w:r w:rsidR="000332D7" w:rsidRPr="00382A0C">
        <w:rPr>
          <w:rFonts w:ascii="Calibri" w:hAnsi="Calibri" w:cs="Calibri"/>
          <w:iCs/>
          <w:sz w:val="36"/>
          <w:szCs w:val="36"/>
        </w:rPr>
        <w:t xml:space="preserve">e «figlie di Gerusalemme» infatti rappresentano i </w:t>
      </w:r>
      <w:proofErr w:type="spellStart"/>
      <w:r w:rsidR="000332D7" w:rsidRPr="00382A0C">
        <w:rPr>
          <w:rFonts w:ascii="Calibri" w:hAnsi="Calibri" w:cs="Calibri"/>
          <w:i/>
          <w:sz w:val="36"/>
          <w:szCs w:val="36"/>
        </w:rPr>
        <w:t>go</w:t>
      </w:r>
      <w:r w:rsidRPr="00382A0C">
        <w:rPr>
          <w:rFonts w:ascii="Calibri" w:hAnsi="Calibri" w:cs="Calibri"/>
          <w:i/>
          <w:sz w:val="36"/>
          <w:szCs w:val="36"/>
        </w:rPr>
        <w:t>y</w:t>
      </w:r>
      <w:r w:rsidR="000332D7" w:rsidRPr="00382A0C">
        <w:rPr>
          <w:rFonts w:ascii="Calibri" w:hAnsi="Calibri" w:cs="Calibri"/>
          <w:i/>
          <w:sz w:val="36"/>
          <w:szCs w:val="36"/>
        </w:rPr>
        <w:t>im</w:t>
      </w:r>
      <w:proofErr w:type="spellEnd"/>
      <w:r w:rsidR="000332D7" w:rsidRPr="00382A0C">
        <w:rPr>
          <w:rFonts w:ascii="Calibri" w:hAnsi="Calibri" w:cs="Calibri"/>
          <w:iCs/>
          <w:sz w:val="36"/>
          <w:szCs w:val="36"/>
        </w:rPr>
        <w:t xml:space="preserve"> (le genti), componente fondamentale in quanto la specificità dell’amata, Israele, nasce solo se confrontata con la presenza degli altri popoli. </w:t>
      </w:r>
    </w:p>
    <w:p w14:paraId="79D1C53D" w14:textId="5E7B2D2E" w:rsidR="000332D7" w:rsidRPr="00382A0C" w:rsidRDefault="00737B69" w:rsidP="00827117">
      <w:pPr>
        <w:ind w:firstLine="170"/>
        <w:jc w:val="both"/>
        <w:rPr>
          <w:rFonts w:ascii="Calibri" w:hAnsi="Calibri" w:cs="Calibri"/>
          <w:iCs/>
          <w:sz w:val="36"/>
          <w:szCs w:val="36"/>
        </w:rPr>
      </w:pPr>
      <w:r w:rsidRPr="00382A0C">
        <w:rPr>
          <w:rFonts w:ascii="Calibri" w:hAnsi="Calibri" w:cs="Calibri"/>
          <w:iCs/>
          <w:sz w:val="36"/>
          <w:szCs w:val="36"/>
        </w:rPr>
        <w:t>2.</w:t>
      </w:r>
      <w:r w:rsidR="000332D7" w:rsidRPr="00382A0C">
        <w:rPr>
          <w:rFonts w:ascii="Calibri" w:hAnsi="Calibri" w:cs="Calibri"/>
          <w:iCs/>
          <w:sz w:val="36"/>
          <w:szCs w:val="36"/>
        </w:rPr>
        <w:t xml:space="preserve">3. Vi sono tre riferimenti capitali per comprendere la relazione a tre: amata, amato, figlie di Gerusalemme. Nel </w:t>
      </w:r>
      <w:r w:rsidR="000332D7" w:rsidRPr="00382A0C">
        <w:rPr>
          <w:rFonts w:ascii="Calibri" w:hAnsi="Calibri" w:cs="Calibri"/>
          <w:i/>
          <w:sz w:val="36"/>
          <w:szCs w:val="36"/>
        </w:rPr>
        <w:t>Cantico</w:t>
      </w:r>
      <w:r w:rsidR="000332D7" w:rsidRPr="00382A0C">
        <w:rPr>
          <w:rFonts w:ascii="Calibri" w:hAnsi="Calibri" w:cs="Calibri"/>
          <w:iCs/>
          <w:sz w:val="36"/>
          <w:szCs w:val="36"/>
        </w:rPr>
        <w:t xml:space="preserve"> vi è una triplice ripetizione: «Io vi scongiuro, figlie di Gerusalemme, per le gazzelle</w:t>
      </w:r>
      <w:r w:rsidRPr="00382A0C">
        <w:rPr>
          <w:rFonts w:ascii="Calibri" w:hAnsi="Calibri" w:cs="Calibri"/>
          <w:iCs/>
          <w:sz w:val="36"/>
          <w:szCs w:val="36"/>
        </w:rPr>
        <w:t xml:space="preserve"> [</w:t>
      </w:r>
      <w:proofErr w:type="spellStart"/>
      <w:r w:rsidRPr="00382A0C">
        <w:rPr>
          <w:rFonts w:ascii="Calibri" w:hAnsi="Calibri" w:cs="Calibri"/>
          <w:i/>
          <w:sz w:val="36"/>
          <w:szCs w:val="36"/>
        </w:rPr>
        <w:t>zevaot</w:t>
      </w:r>
      <w:proofErr w:type="spellEnd"/>
      <w:r w:rsidRPr="00382A0C">
        <w:rPr>
          <w:rFonts w:ascii="Calibri" w:hAnsi="Calibri" w:cs="Calibri"/>
          <w:iCs/>
          <w:sz w:val="36"/>
          <w:szCs w:val="36"/>
        </w:rPr>
        <w:t>]</w:t>
      </w:r>
      <w:r w:rsidR="000332D7" w:rsidRPr="00382A0C">
        <w:rPr>
          <w:rFonts w:ascii="Calibri" w:hAnsi="Calibri" w:cs="Calibri"/>
          <w:iCs/>
          <w:sz w:val="36"/>
          <w:szCs w:val="36"/>
        </w:rPr>
        <w:t xml:space="preserve"> o per le </w:t>
      </w:r>
      <w:r w:rsidR="00E4268B" w:rsidRPr="00382A0C">
        <w:rPr>
          <w:rFonts w:ascii="Calibri" w:hAnsi="Calibri" w:cs="Calibri"/>
          <w:iCs/>
          <w:sz w:val="36"/>
          <w:szCs w:val="36"/>
        </w:rPr>
        <w:t>cerve del</w:t>
      </w:r>
      <w:r w:rsidR="000332D7" w:rsidRPr="00382A0C">
        <w:rPr>
          <w:rFonts w:ascii="Calibri" w:hAnsi="Calibri" w:cs="Calibri"/>
          <w:iCs/>
          <w:sz w:val="36"/>
          <w:szCs w:val="36"/>
        </w:rPr>
        <w:t xml:space="preserve"> camp</w:t>
      </w:r>
      <w:r w:rsidRPr="00382A0C">
        <w:rPr>
          <w:rFonts w:ascii="Calibri" w:hAnsi="Calibri" w:cs="Calibri"/>
          <w:iCs/>
          <w:sz w:val="36"/>
          <w:szCs w:val="36"/>
        </w:rPr>
        <w:t xml:space="preserve">o </w:t>
      </w:r>
      <w:r w:rsidR="00BB72AB" w:rsidRPr="00382A0C">
        <w:rPr>
          <w:rFonts w:ascii="Calibri" w:hAnsi="Calibri" w:cs="Calibri"/>
          <w:iCs/>
          <w:sz w:val="36"/>
          <w:szCs w:val="36"/>
        </w:rPr>
        <w:t>[</w:t>
      </w:r>
      <w:proofErr w:type="spellStart"/>
      <w:r w:rsidRPr="00382A0C">
        <w:rPr>
          <w:rFonts w:ascii="Calibri" w:hAnsi="Calibri" w:cs="Calibri"/>
          <w:i/>
          <w:sz w:val="36"/>
          <w:szCs w:val="36"/>
        </w:rPr>
        <w:t>sadeh</w:t>
      </w:r>
      <w:proofErr w:type="spellEnd"/>
      <w:r w:rsidR="00BB72AB" w:rsidRPr="00382A0C">
        <w:rPr>
          <w:rFonts w:ascii="Calibri" w:hAnsi="Calibri" w:cs="Calibri"/>
          <w:iCs/>
          <w:sz w:val="36"/>
          <w:szCs w:val="36"/>
        </w:rPr>
        <w:t>]</w:t>
      </w:r>
      <w:r w:rsidR="000332D7" w:rsidRPr="00382A0C">
        <w:rPr>
          <w:rFonts w:ascii="Calibri" w:hAnsi="Calibri" w:cs="Calibri"/>
          <w:iCs/>
          <w:sz w:val="36"/>
          <w:szCs w:val="36"/>
        </w:rPr>
        <w:t>: non destate, non scuotete, dal sonno l’amore finché non lo desideri» (</w:t>
      </w:r>
      <w:proofErr w:type="spellStart"/>
      <w:r w:rsidR="000332D7" w:rsidRPr="00382A0C">
        <w:rPr>
          <w:rFonts w:ascii="Calibri" w:hAnsi="Calibri" w:cs="Calibri"/>
          <w:iCs/>
          <w:sz w:val="36"/>
          <w:szCs w:val="36"/>
        </w:rPr>
        <w:t>Ct</w:t>
      </w:r>
      <w:proofErr w:type="spellEnd"/>
      <w:r w:rsidR="000332D7" w:rsidRPr="00382A0C">
        <w:rPr>
          <w:rFonts w:ascii="Calibri" w:hAnsi="Calibri" w:cs="Calibri"/>
          <w:iCs/>
          <w:sz w:val="36"/>
          <w:szCs w:val="36"/>
        </w:rPr>
        <w:t xml:space="preserve"> 2,7; 3,5; 8,4; in ebraico vi sono assonanze tra i termini “gazzelle” e “campo” con alcuni nomi divini). Se le figlie di Gerusalemme simboleggiano le genti, la lettura si colloca in un orizzonte messianico dilazionato: non bisogna creare le condizioni per forzare i tempi in cui si ridesterà l’amato, vale a dire il messia. L’atteso è tuttora dormiente. </w:t>
      </w:r>
    </w:p>
    <w:p w14:paraId="7F88B79B" w14:textId="68D15C8D" w:rsidR="000332D7" w:rsidRPr="00382A0C" w:rsidRDefault="00BB72AB" w:rsidP="00827117">
      <w:pPr>
        <w:ind w:firstLine="170"/>
        <w:jc w:val="both"/>
        <w:rPr>
          <w:rFonts w:ascii="Calibri" w:hAnsi="Calibri" w:cs="Calibri"/>
          <w:iCs/>
          <w:sz w:val="36"/>
          <w:szCs w:val="36"/>
        </w:rPr>
      </w:pPr>
      <w:r w:rsidRPr="00382A0C">
        <w:rPr>
          <w:rFonts w:ascii="Calibri" w:hAnsi="Calibri" w:cs="Calibri"/>
          <w:iCs/>
          <w:sz w:val="36"/>
          <w:szCs w:val="36"/>
        </w:rPr>
        <w:t>2.</w:t>
      </w:r>
      <w:r w:rsidR="000332D7" w:rsidRPr="00382A0C">
        <w:rPr>
          <w:rFonts w:ascii="Calibri" w:hAnsi="Calibri" w:cs="Calibri"/>
          <w:iCs/>
          <w:sz w:val="36"/>
          <w:szCs w:val="36"/>
        </w:rPr>
        <w:t xml:space="preserve">4. Da questo brano, tre volte ripetuto, la tradizionale ermeneutica ebraica ha tratto l’interpretazione nota </w:t>
      </w:r>
      <w:r w:rsidRPr="00382A0C">
        <w:rPr>
          <w:rFonts w:ascii="Calibri" w:hAnsi="Calibri" w:cs="Calibri"/>
          <w:iCs/>
          <w:sz w:val="36"/>
          <w:szCs w:val="36"/>
        </w:rPr>
        <w:t>come «</w:t>
      </w:r>
      <w:r w:rsidR="000332D7" w:rsidRPr="00382A0C">
        <w:rPr>
          <w:rFonts w:ascii="Calibri" w:hAnsi="Calibri" w:cs="Calibri"/>
          <w:iCs/>
          <w:sz w:val="36"/>
          <w:szCs w:val="36"/>
        </w:rPr>
        <w:t>i tre giuramenti». Essa ha rappresentato (e in una certa misura tuttora rappresenta nell’ambito dell’</w:t>
      </w:r>
      <w:proofErr w:type="spellStart"/>
      <w:r w:rsidR="000332D7" w:rsidRPr="00382A0C">
        <w:rPr>
          <w:rFonts w:ascii="Calibri" w:hAnsi="Calibri" w:cs="Calibri"/>
          <w:iCs/>
          <w:sz w:val="36"/>
          <w:szCs w:val="36"/>
        </w:rPr>
        <w:t>ultra-ortodossia</w:t>
      </w:r>
      <w:proofErr w:type="spellEnd"/>
      <w:r w:rsidR="000332D7" w:rsidRPr="00382A0C">
        <w:rPr>
          <w:rFonts w:ascii="Calibri" w:hAnsi="Calibri" w:cs="Calibri"/>
          <w:iCs/>
          <w:sz w:val="36"/>
          <w:szCs w:val="36"/>
        </w:rPr>
        <w:t>) la massima sconfessione teologica del sionismo, cioè del movimento in cui un grande risveglio storico del popolo ebraico ha attuato quanto, per lungo tempo, è stato pensato in termini esclusivamente messianici.</w:t>
      </w:r>
    </w:p>
    <w:p w14:paraId="7D75187D" w14:textId="67EBC257" w:rsidR="003A3D3D" w:rsidRPr="00382A0C" w:rsidRDefault="000332D7" w:rsidP="00827117">
      <w:pPr>
        <w:rPr>
          <w:rFonts w:asciiTheme="minorHAnsi" w:hAnsiTheme="minorHAnsi" w:cstheme="minorHAnsi"/>
          <w:sz w:val="36"/>
          <w:szCs w:val="36"/>
        </w:rPr>
      </w:pPr>
      <w:r w:rsidRPr="00382A0C">
        <w:rPr>
          <w:rFonts w:ascii="Calibri" w:hAnsi="Calibri" w:cs="Calibri"/>
          <w:iCs/>
          <w:sz w:val="36"/>
          <w:szCs w:val="36"/>
        </w:rPr>
        <w:lastRenderedPageBreak/>
        <w:t>«Perché questi tre giuramenti? Uno affinché Israele non salga il muro [o “come un muro”], uno perché il Santo, benedetto Egli sia, fece giurare a Israele di non ribellarsi alle nazioni del mondo e uno perché il Santo, benedetto Egli sia, fece giurare gli adoratori delle stelle di non opprimere troppo Israele» (</w:t>
      </w:r>
      <w:r w:rsidRPr="00382A0C">
        <w:rPr>
          <w:rFonts w:ascii="Calibri" w:hAnsi="Calibri" w:cs="Calibri"/>
          <w:i/>
          <w:sz w:val="36"/>
          <w:szCs w:val="36"/>
        </w:rPr>
        <w:t xml:space="preserve">Talmud babilonese, </w:t>
      </w:r>
      <w:proofErr w:type="spellStart"/>
      <w:r w:rsidR="00BB72AB" w:rsidRPr="00382A0C">
        <w:rPr>
          <w:rFonts w:ascii="Calibri" w:hAnsi="Calibri" w:cs="Calibri"/>
          <w:i/>
          <w:sz w:val="36"/>
          <w:szCs w:val="36"/>
        </w:rPr>
        <w:t>Ketubbot</w:t>
      </w:r>
      <w:proofErr w:type="spellEnd"/>
      <w:r w:rsidR="00BB72AB" w:rsidRPr="00382A0C">
        <w:rPr>
          <w:rFonts w:ascii="Calibri" w:hAnsi="Calibri" w:cs="Calibri"/>
          <w:iCs/>
          <w:sz w:val="36"/>
          <w:szCs w:val="36"/>
        </w:rPr>
        <w:t>, 111</w:t>
      </w:r>
      <w:r w:rsidRPr="00382A0C">
        <w:rPr>
          <w:rFonts w:ascii="Calibri" w:hAnsi="Calibri" w:cs="Calibri"/>
          <w:iCs/>
          <w:sz w:val="36"/>
          <w:szCs w:val="36"/>
        </w:rPr>
        <w:t xml:space="preserve">a). </w:t>
      </w:r>
      <w:r w:rsidR="003A3D3D" w:rsidRPr="00382A0C">
        <w:rPr>
          <w:rFonts w:asciiTheme="minorHAnsi" w:hAnsiTheme="minorHAnsi" w:cstheme="minorHAnsi"/>
          <w:sz w:val="36"/>
          <w:szCs w:val="36"/>
        </w:rPr>
        <w:t xml:space="preserve">Fondamentale sui «tre giuramenti» è l’appendice «Che non salgono il muro» in A. </w:t>
      </w:r>
      <w:proofErr w:type="spellStart"/>
      <w:r w:rsidR="003A3D3D" w:rsidRPr="00382A0C">
        <w:rPr>
          <w:rFonts w:asciiTheme="minorHAnsi" w:hAnsiTheme="minorHAnsi" w:cstheme="minorHAnsi"/>
          <w:sz w:val="36"/>
          <w:szCs w:val="36"/>
        </w:rPr>
        <w:t>Ravitsky</w:t>
      </w:r>
      <w:proofErr w:type="spellEnd"/>
      <w:r w:rsidR="003A3D3D" w:rsidRPr="00382A0C">
        <w:rPr>
          <w:rFonts w:asciiTheme="minorHAnsi" w:hAnsiTheme="minorHAnsi" w:cstheme="minorHAnsi"/>
          <w:sz w:val="36"/>
          <w:szCs w:val="36"/>
        </w:rPr>
        <w:t xml:space="preserve">, </w:t>
      </w:r>
      <w:r w:rsidR="003A3D3D" w:rsidRPr="00382A0C">
        <w:rPr>
          <w:rFonts w:asciiTheme="minorHAnsi" w:hAnsiTheme="minorHAnsi" w:cstheme="minorHAnsi"/>
          <w:i/>
          <w:iCs/>
          <w:sz w:val="36"/>
          <w:szCs w:val="36"/>
        </w:rPr>
        <w:t>La fine svelata e lo Stato degli ebrei</w:t>
      </w:r>
      <w:r w:rsidR="003A3D3D" w:rsidRPr="00382A0C">
        <w:rPr>
          <w:rFonts w:asciiTheme="minorHAnsi" w:hAnsiTheme="minorHAnsi" w:cstheme="minorHAnsi"/>
          <w:sz w:val="36"/>
          <w:szCs w:val="36"/>
        </w:rPr>
        <w:t xml:space="preserve">, Marietti, Genova-Milano 2007, pp. 279-312 in cui si dimostra la rilevanza storica del tema. </w:t>
      </w:r>
    </w:p>
    <w:p w14:paraId="3AF8BEA7" w14:textId="0A07E52F" w:rsidR="000332D7" w:rsidRPr="00382A0C" w:rsidRDefault="000332D7" w:rsidP="00827117">
      <w:pPr>
        <w:rPr>
          <w:rFonts w:ascii="Calibri" w:hAnsi="Calibri" w:cs="Calibri"/>
          <w:iCs/>
          <w:sz w:val="36"/>
          <w:szCs w:val="36"/>
        </w:rPr>
      </w:pPr>
      <w:r w:rsidRPr="00382A0C">
        <w:rPr>
          <w:rFonts w:ascii="Calibri" w:hAnsi="Calibri" w:cs="Calibri"/>
          <w:iCs/>
          <w:sz w:val="36"/>
          <w:szCs w:val="36"/>
        </w:rPr>
        <w:t xml:space="preserve">Dio, da un lato, fece giurare al popolo ebraico di non salire in massa in terra d’Israele e di vivere in esilio sotto il governo altrui, mentre, dall’altro, fece giurare alle genti («gli adoratori delle stelle», cfr. </w:t>
      </w:r>
      <w:proofErr w:type="spellStart"/>
      <w:r w:rsidRPr="00382A0C">
        <w:rPr>
          <w:rFonts w:ascii="Calibri" w:hAnsi="Calibri" w:cs="Calibri"/>
          <w:iCs/>
          <w:sz w:val="36"/>
          <w:szCs w:val="36"/>
        </w:rPr>
        <w:t>Dt</w:t>
      </w:r>
      <w:proofErr w:type="spellEnd"/>
      <w:r w:rsidRPr="00382A0C">
        <w:rPr>
          <w:rFonts w:ascii="Calibri" w:hAnsi="Calibri" w:cs="Calibri"/>
          <w:iCs/>
          <w:sz w:val="36"/>
          <w:szCs w:val="36"/>
        </w:rPr>
        <w:t xml:space="preserve"> 4,19) di non spinge</w:t>
      </w:r>
      <w:r w:rsidR="00BB72AB" w:rsidRPr="00382A0C">
        <w:rPr>
          <w:rFonts w:ascii="Calibri" w:hAnsi="Calibri" w:cs="Calibri"/>
          <w:iCs/>
          <w:sz w:val="36"/>
          <w:szCs w:val="36"/>
        </w:rPr>
        <w:t>r</w:t>
      </w:r>
      <w:r w:rsidRPr="00382A0C">
        <w:rPr>
          <w:rFonts w:ascii="Calibri" w:hAnsi="Calibri" w:cs="Calibri"/>
          <w:iCs/>
          <w:sz w:val="36"/>
          <w:szCs w:val="36"/>
        </w:rPr>
        <w:t xml:space="preserve">si troppo in </w:t>
      </w:r>
      <w:r w:rsidR="003A3D3D" w:rsidRPr="00382A0C">
        <w:rPr>
          <w:rFonts w:ascii="Calibri" w:hAnsi="Calibri" w:cs="Calibri"/>
          <w:iCs/>
          <w:sz w:val="36"/>
          <w:szCs w:val="36"/>
        </w:rPr>
        <w:t>là nell’umiliare</w:t>
      </w:r>
      <w:r w:rsidRPr="00382A0C">
        <w:rPr>
          <w:rFonts w:ascii="Calibri" w:hAnsi="Calibri" w:cs="Calibri"/>
          <w:iCs/>
          <w:sz w:val="36"/>
          <w:szCs w:val="36"/>
        </w:rPr>
        <w:t xml:space="preserve"> il popolo ebraico. </w:t>
      </w:r>
    </w:p>
    <w:p w14:paraId="3D073133" w14:textId="770DD843" w:rsidR="003A3D3D" w:rsidRPr="00382A0C" w:rsidRDefault="003A3D3D" w:rsidP="00827117">
      <w:pPr>
        <w:rPr>
          <w:rFonts w:asciiTheme="minorHAnsi" w:hAnsiTheme="minorHAnsi" w:cstheme="minorHAnsi"/>
          <w:sz w:val="36"/>
          <w:szCs w:val="36"/>
        </w:rPr>
      </w:pPr>
      <w:r w:rsidRPr="00382A0C">
        <w:rPr>
          <w:rFonts w:ascii="Calibri" w:hAnsi="Calibri" w:cs="Calibri"/>
          <w:iCs/>
          <w:sz w:val="36"/>
          <w:szCs w:val="36"/>
        </w:rPr>
        <w:t>2.</w:t>
      </w:r>
      <w:r w:rsidR="000332D7" w:rsidRPr="00382A0C">
        <w:rPr>
          <w:rFonts w:ascii="Calibri" w:hAnsi="Calibri" w:cs="Calibri"/>
          <w:iCs/>
          <w:sz w:val="36"/>
          <w:szCs w:val="36"/>
        </w:rPr>
        <w:t xml:space="preserve">5.  La storia del XX secolo parla in termini ben diversi: sul piano dei fatti i giuramenti appaiono saltati.  Non a caso uno delle massime autorità dell’ortodossia ebraica </w:t>
      </w:r>
      <w:r w:rsidRPr="00382A0C">
        <w:rPr>
          <w:rFonts w:ascii="Calibri" w:hAnsi="Calibri" w:cs="Calibri"/>
          <w:iCs/>
          <w:sz w:val="36"/>
          <w:szCs w:val="36"/>
        </w:rPr>
        <w:t>novecentesca, Joseph</w:t>
      </w:r>
      <w:r w:rsidR="000332D7" w:rsidRPr="00382A0C">
        <w:rPr>
          <w:rFonts w:ascii="Calibri" w:hAnsi="Calibri" w:cs="Calibri"/>
          <w:iCs/>
          <w:sz w:val="36"/>
          <w:szCs w:val="36"/>
        </w:rPr>
        <w:t xml:space="preserve"> B. </w:t>
      </w:r>
      <w:proofErr w:type="spellStart"/>
      <w:r w:rsidR="000332D7" w:rsidRPr="00382A0C">
        <w:rPr>
          <w:rFonts w:ascii="Calibri" w:hAnsi="Calibri" w:cs="Calibri"/>
          <w:iCs/>
          <w:sz w:val="36"/>
          <w:szCs w:val="36"/>
        </w:rPr>
        <w:t>Soloveitchik</w:t>
      </w:r>
      <w:proofErr w:type="spellEnd"/>
      <w:r w:rsidR="000332D7" w:rsidRPr="00382A0C">
        <w:rPr>
          <w:rFonts w:ascii="Calibri" w:hAnsi="Calibri" w:cs="Calibri"/>
          <w:iCs/>
          <w:sz w:val="36"/>
          <w:szCs w:val="36"/>
        </w:rPr>
        <w:t xml:space="preserve"> (1903-1993), già nel 1956 riferendosi a un altro passo del Cantico: “il mio amato bussa” (</w:t>
      </w:r>
      <w:proofErr w:type="spellStart"/>
      <w:r w:rsidR="000332D7" w:rsidRPr="00382A0C">
        <w:rPr>
          <w:rFonts w:ascii="Calibri" w:hAnsi="Calibri" w:cs="Calibri"/>
          <w:iCs/>
          <w:sz w:val="36"/>
          <w:szCs w:val="36"/>
        </w:rPr>
        <w:t>Ct</w:t>
      </w:r>
      <w:proofErr w:type="spellEnd"/>
      <w:r w:rsidR="000332D7" w:rsidRPr="00382A0C">
        <w:rPr>
          <w:rFonts w:ascii="Calibri" w:hAnsi="Calibri" w:cs="Calibri"/>
          <w:iCs/>
          <w:sz w:val="36"/>
          <w:szCs w:val="36"/>
        </w:rPr>
        <w:t xml:space="preserve"> 5,2) forniva una lettura fortemente “sionista” dello </w:t>
      </w:r>
      <w:r w:rsidR="000332D7" w:rsidRPr="00382A0C">
        <w:rPr>
          <w:rFonts w:ascii="Calibri" w:hAnsi="Calibri" w:cs="Calibri"/>
          <w:i/>
          <w:sz w:val="36"/>
          <w:szCs w:val="36"/>
        </w:rPr>
        <w:t>Shir ha-</w:t>
      </w:r>
      <w:proofErr w:type="spellStart"/>
      <w:r w:rsidRPr="00382A0C">
        <w:rPr>
          <w:rFonts w:ascii="Calibri" w:hAnsi="Calibri" w:cs="Calibri"/>
          <w:i/>
          <w:sz w:val="36"/>
          <w:szCs w:val="36"/>
        </w:rPr>
        <w:t>shirim</w:t>
      </w:r>
      <w:proofErr w:type="spellEnd"/>
      <w:r w:rsidRPr="00382A0C">
        <w:rPr>
          <w:rFonts w:ascii="Calibri" w:hAnsi="Calibri" w:cs="Calibri"/>
          <w:iCs/>
          <w:sz w:val="36"/>
          <w:szCs w:val="36"/>
        </w:rPr>
        <w:t xml:space="preserve"> in</w:t>
      </w:r>
      <w:r w:rsidR="000332D7" w:rsidRPr="00382A0C">
        <w:rPr>
          <w:rFonts w:ascii="Calibri" w:hAnsi="Calibri" w:cs="Calibri"/>
          <w:iCs/>
          <w:sz w:val="36"/>
          <w:szCs w:val="36"/>
        </w:rPr>
        <w:t xml:space="preserve"> base a una </w:t>
      </w:r>
      <w:proofErr w:type="gramStart"/>
      <w:r w:rsidR="000332D7" w:rsidRPr="00382A0C">
        <w:rPr>
          <w:rFonts w:ascii="Calibri" w:hAnsi="Calibri" w:cs="Calibri"/>
          <w:iCs/>
          <w:sz w:val="36"/>
          <w:szCs w:val="36"/>
        </w:rPr>
        <w:t>visione  di</w:t>
      </w:r>
      <w:proofErr w:type="gramEnd"/>
      <w:r w:rsidR="000332D7" w:rsidRPr="00382A0C">
        <w:rPr>
          <w:rFonts w:ascii="Calibri" w:hAnsi="Calibri" w:cs="Calibri"/>
          <w:iCs/>
          <w:sz w:val="36"/>
          <w:szCs w:val="36"/>
        </w:rPr>
        <w:t xml:space="preserve"> teologia della </w:t>
      </w:r>
      <w:r w:rsidRPr="00382A0C">
        <w:rPr>
          <w:rFonts w:ascii="Calibri" w:hAnsi="Calibri" w:cs="Calibri"/>
          <w:iCs/>
          <w:sz w:val="36"/>
          <w:szCs w:val="36"/>
        </w:rPr>
        <w:t>storia che</w:t>
      </w:r>
      <w:r w:rsidR="000332D7" w:rsidRPr="00382A0C">
        <w:rPr>
          <w:rFonts w:ascii="Calibri" w:hAnsi="Calibri" w:cs="Calibri"/>
          <w:iCs/>
          <w:sz w:val="36"/>
          <w:szCs w:val="36"/>
        </w:rPr>
        <w:t xml:space="preserve"> sprona all’azion</w:t>
      </w:r>
      <w:r w:rsidRPr="00382A0C">
        <w:rPr>
          <w:rFonts w:ascii="Calibri" w:hAnsi="Calibri" w:cs="Calibri"/>
          <w:iCs/>
          <w:sz w:val="36"/>
          <w:szCs w:val="36"/>
        </w:rPr>
        <w:t>e</w:t>
      </w:r>
      <w:r w:rsidRPr="00382A0C">
        <w:rPr>
          <w:sz w:val="36"/>
          <w:szCs w:val="36"/>
        </w:rPr>
        <w:t xml:space="preserve"> </w:t>
      </w:r>
      <w:r w:rsidRPr="00382A0C">
        <w:rPr>
          <w:rFonts w:asciiTheme="minorHAnsi" w:hAnsiTheme="minorHAnsi" w:cstheme="minorHAnsi"/>
          <w:sz w:val="36"/>
          <w:szCs w:val="36"/>
        </w:rPr>
        <w:t xml:space="preserve">(Cfr. M. Giuliani, </w:t>
      </w:r>
      <w:r w:rsidRPr="00382A0C">
        <w:rPr>
          <w:rFonts w:asciiTheme="minorHAnsi" w:hAnsiTheme="minorHAnsi" w:cstheme="minorHAnsi"/>
          <w:i/>
          <w:iCs/>
          <w:sz w:val="36"/>
          <w:szCs w:val="36"/>
        </w:rPr>
        <w:t>Eros in esilio. Letture teologico-politiche del</w:t>
      </w:r>
      <w:r w:rsidRPr="00382A0C">
        <w:rPr>
          <w:rFonts w:asciiTheme="minorHAnsi" w:hAnsiTheme="minorHAnsi" w:cstheme="minorHAnsi"/>
          <w:sz w:val="36"/>
          <w:szCs w:val="36"/>
        </w:rPr>
        <w:t xml:space="preserve"> “</w:t>
      </w:r>
      <w:r w:rsidRPr="00382A0C">
        <w:rPr>
          <w:rFonts w:asciiTheme="minorHAnsi" w:hAnsiTheme="minorHAnsi" w:cstheme="minorHAnsi"/>
          <w:i/>
          <w:iCs/>
          <w:sz w:val="36"/>
          <w:szCs w:val="36"/>
        </w:rPr>
        <w:t>Cantico dei Cantici</w:t>
      </w:r>
      <w:r w:rsidRPr="00382A0C">
        <w:rPr>
          <w:rFonts w:asciiTheme="minorHAnsi" w:hAnsiTheme="minorHAnsi" w:cstheme="minorHAnsi"/>
          <w:sz w:val="36"/>
          <w:szCs w:val="36"/>
        </w:rPr>
        <w:t>”, Edizioni Medusa, Milano 2008).</w:t>
      </w:r>
    </w:p>
    <w:p w14:paraId="435B5A9B" w14:textId="77777777" w:rsidR="003A3D3D" w:rsidRPr="00382A0C" w:rsidRDefault="003A3D3D" w:rsidP="00827117">
      <w:pPr>
        <w:jc w:val="both"/>
        <w:rPr>
          <w:rFonts w:asciiTheme="minorHAnsi" w:hAnsiTheme="minorHAnsi" w:cstheme="minorHAnsi"/>
          <w:sz w:val="36"/>
          <w:szCs w:val="36"/>
        </w:rPr>
      </w:pPr>
    </w:p>
    <w:p w14:paraId="4DE778BF" w14:textId="1618AAA5" w:rsidR="00C225AB" w:rsidRPr="00382A0C" w:rsidRDefault="00E4268B" w:rsidP="00827117">
      <w:pPr>
        <w:jc w:val="both"/>
        <w:rPr>
          <w:rFonts w:asciiTheme="minorHAnsi" w:hAnsiTheme="minorHAnsi" w:cstheme="minorHAnsi"/>
          <w:b/>
          <w:bCs/>
          <w:color w:val="C45911" w:themeColor="accent2" w:themeShade="BF"/>
          <w:sz w:val="36"/>
          <w:szCs w:val="36"/>
        </w:rPr>
      </w:pPr>
      <w:r w:rsidRPr="00382A0C">
        <w:rPr>
          <w:rFonts w:asciiTheme="minorHAnsi" w:hAnsiTheme="minorHAnsi" w:cstheme="minorHAnsi"/>
          <w:b/>
          <w:bCs/>
          <w:color w:val="C45911" w:themeColor="accent2" w:themeShade="BF"/>
          <w:sz w:val="36"/>
          <w:szCs w:val="36"/>
        </w:rPr>
        <w:t>3.L’età dell’emancipazione</w:t>
      </w:r>
    </w:p>
    <w:p w14:paraId="043750DC" w14:textId="77777777" w:rsidR="00EF43A1" w:rsidRPr="00382A0C" w:rsidRDefault="00EF43A1" w:rsidP="00827117">
      <w:pPr>
        <w:rPr>
          <w:rFonts w:asciiTheme="minorHAnsi" w:hAnsiTheme="minorHAnsi"/>
          <w:sz w:val="36"/>
          <w:szCs w:val="36"/>
        </w:rPr>
      </w:pPr>
    </w:p>
    <w:p w14:paraId="2D924510" w14:textId="77777777" w:rsidR="0058349E" w:rsidRPr="00382A0C" w:rsidRDefault="00EF43A1" w:rsidP="00827117">
      <w:pPr>
        <w:jc w:val="both"/>
        <w:rPr>
          <w:rFonts w:asciiTheme="minorHAnsi" w:hAnsiTheme="minorHAnsi"/>
          <w:sz w:val="36"/>
          <w:szCs w:val="36"/>
        </w:rPr>
      </w:pPr>
      <w:r w:rsidRPr="00382A0C">
        <w:rPr>
          <w:rFonts w:asciiTheme="minorHAnsi" w:hAnsiTheme="minorHAnsi"/>
          <w:sz w:val="36"/>
          <w:szCs w:val="36"/>
        </w:rPr>
        <w:t>Quella dell’emancipazione stata quell'epoca, non breve e non omogenea, a segnare l'esistenza di un «prima» e un «dopo». Essa pose fine all</w:t>
      </w:r>
      <w:r w:rsidR="004562DA" w:rsidRPr="00382A0C">
        <w:rPr>
          <w:rFonts w:asciiTheme="minorHAnsi" w:hAnsiTheme="minorHAnsi"/>
          <w:sz w:val="36"/>
          <w:szCs w:val="36"/>
        </w:rPr>
        <w:t>’epoca dei ghetti ed ebbe</w:t>
      </w:r>
      <w:r w:rsidR="008521B1" w:rsidRPr="00382A0C">
        <w:rPr>
          <w:rFonts w:asciiTheme="minorHAnsi" w:hAnsiTheme="minorHAnsi"/>
          <w:sz w:val="36"/>
          <w:szCs w:val="36"/>
        </w:rPr>
        <w:t xml:space="preserve"> conseguenze di enorme portata </w:t>
      </w:r>
      <w:r w:rsidR="002D6424" w:rsidRPr="00382A0C">
        <w:rPr>
          <w:rFonts w:asciiTheme="minorHAnsi" w:hAnsiTheme="minorHAnsi"/>
          <w:sz w:val="36"/>
          <w:szCs w:val="36"/>
        </w:rPr>
        <w:t xml:space="preserve">sulla cultura occidentale in virtù della creazione di un’intellettualità ebraica di eccezionale </w:t>
      </w:r>
      <w:r w:rsidR="002D6424" w:rsidRPr="00382A0C">
        <w:rPr>
          <w:rFonts w:asciiTheme="minorHAnsi" w:hAnsiTheme="minorHAnsi"/>
          <w:sz w:val="36"/>
          <w:szCs w:val="36"/>
        </w:rPr>
        <w:lastRenderedPageBreak/>
        <w:t xml:space="preserve">levatura. Inoltre </w:t>
      </w:r>
      <w:r w:rsidR="004562DA" w:rsidRPr="00382A0C">
        <w:rPr>
          <w:rFonts w:asciiTheme="minorHAnsi" w:hAnsiTheme="minorHAnsi"/>
          <w:sz w:val="36"/>
          <w:szCs w:val="36"/>
        </w:rPr>
        <w:t xml:space="preserve">con il tempo </w:t>
      </w:r>
      <w:r w:rsidR="002D6424" w:rsidRPr="00382A0C">
        <w:rPr>
          <w:rFonts w:asciiTheme="minorHAnsi" w:hAnsiTheme="minorHAnsi"/>
          <w:sz w:val="36"/>
          <w:szCs w:val="36"/>
        </w:rPr>
        <w:t xml:space="preserve">gli </w:t>
      </w:r>
      <w:r w:rsidR="004562DA" w:rsidRPr="00382A0C">
        <w:rPr>
          <w:rFonts w:asciiTheme="minorHAnsi" w:hAnsiTheme="minorHAnsi"/>
          <w:sz w:val="36"/>
          <w:szCs w:val="36"/>
        </w:rPr>
        <w:t xml:space="preserve">influssi </w:t>
      </w:r>
      <w:r w:rsidR="002D6424" w:rsidRPr="00382A0C">
        <w:rPr>
          <w:rFonts w:asciiTheme="minorHAnsi" w:hAnsiTheme="minorHAnsi"/>
          <w:sz w:val="36"/>
          <w:szCs w:val="36"/>
        </w:rPr>
        <w:t>esercitati dall’emancipazione furono percepibili anche</w:t>
      </w:r>
      <w:r w:rsidR="004562DA" w:rsidRPr="00382A0C">
        <w:rPr>
          <w:rFonts w:asciiTheme="minorHAnsi" w:hAnsiTheme="minorHAnsi"/>
          <w:sz w:val="36"/>
          <w:szCs w:val="36"/>
        </w:rPr>
        <w:t xml:space="preserve"> in aree a prevalenza musulmana (cfr.  </w:t>
      </w:r>
      <w:r w:rsidR="008521B1" w:rsidRPr="00382A0C">
        <w:rPr>
          <w:rFonts w:asciiTheme="minorHAnsi" w:hAnsiTheme="minorHAnsi"/>
          <w:sz w:val="36"/>
          <w:szCs w:val="36"/>
        </w:rPr>
        <w:t xml:space="preserve">G. </w:t>
      </w:r>
      <w:proofErr w:type="spellStart"/>
      <w:r w:rsidR="008521B1" w:rsidRPr="00382A0C">
        <w:rPr>
          <w:rFonts w:asciiTheme="minorHAnsi" w:hAnsiTheme="minorHAnsi"/>
          <w:sz w:val="36"/>
          <w:szCs w:val="36"/>
        </w:rPr>
        <w:t>Bensoussan</w:t>
      </w:r>
      <w:proofErr w:type="spellEnd"/>
      <w:r w:rsidR="008521B1" w:rsidRPr="00382A0C">
        <w:rPr>
          <w:rFonts w:asciiTheme="minorHAnsi" w:hAnsiTheme="minorHAnsi"/>
          <w:sz w:val="36"/>
          <w:szCs w:val="36"/>
        </w:rPr>
        <w:t xml:space="preserve">, </w:t>
      </w:r>
      <w:r w:rsidR="008521B1" w:rsidRPr="00382A0C">
        <w:rPr>
          <w:rFonts w:asciiTheme="minorHAnsi" w:hAnsiTheme="minorHAnsi"/>
          <w:i/>
          <w:iCs/>
          <w:sz w:val="36"/>
          <w:szCs w:val="36"/>
        </w:rPr>
        <w:t>Gli ebrei del mondo arabo</w:t>
      </w:r>
      <w:r w:rsidR="008521B1" w:rsidRPr="00382A0C">
        <w:rPr>
          <w:rFonts w:asciiTheme="minorHAnsi" w:hAnsiTheme="minorHAnsi"/>
          <w:sz w:val="36"/>
          <w:szCs w:val="36"/>
        </w:rPr>
        <w:t>, Giuntina, Firenze 201</w:t>
      </w:r>
      <w:r w:rsidR="0058349E" w:rsidRPr="00382A0C">
        <w:rPr>
          <w:rFonts w:asciiTheme="minorHAnsi" w:hAnsiTheme="minorHAnsi"/>
          <w:sz w:val="36"/>
          <w:szCs w:val="36"/>
        </w:rPr>
        <w:t>8</w:t>
      </w:r>
      <w:r w:rsidR="004562DA" w:rsidRPr="00382A0C">
        <w:rPr>
          <w:rFonts w:asciiTheme="minorHAnsi" w:hAnsiTheme="minorHAnsi"/>
          <w:sz w:val="36"/>
          <w:szCs w:val="36"/>
        </w:rPr>
        <w:t>)</w:t>
      </w:r>
      <w:r w:rsidR="0058349E" w:rsidRPr="00382A0C">
        <w:rPr>
          <w:rFonts w:asciiTheme="minorHAnsi" w:hAnsiTheme="minorHAnsi"/>
          <w:sz w:val="36"/>
          <w:szCs w:val="36"/>
        </w:rPr>
        <w:t>.</w:t>
      </w:r>
    </w:p>
    <w:p w14:paraId="30CD999C" w14:textId="5F7043A6" w:rsidR="00EF43A1" w:rsidRPr="00382A0C" w:rsidRDefault="00EF43A1" w:rsidP="00827117">
      <w:pPr>
        <w:jc w:val="both"/>
        <w:rPr>
          <w:rFonts w:asciiTheme="minorHAnsi" w:hAnsiTheme="minorHAnsi"/>
          <w:sz w:val="36"/>
          <w:szCs w:val="36"/>
        </w:rPr>
      </w:pPr>
      <w:r w:rsidRPr="00382A0C">
        <w:rPr>
          <w:rFonts w:asciiTheme="minorHAnsi" w:hAnsiTheme="minorHAnsi"/>
          <w:sz w:val="36"/>
          <w:szCs w:val="36"/>
        </w:rPr>
        <w:t xml:space="preserve"> La forma classica con cui si è dispiegato in Occidente nel corso del XIX secolo il processo emancipatorio si conformò per lo più a visioni politico-giuridiche di stampo liberale. L'itinerario ebbe inizio nel corso della Rivoluzione francese. Nel dicembre 1789 l'Assemblea nazionale costituente discusse sull'emancipazione ebraica. Una frase destinata ad assurgere alla dignità di simbolo fu espressa, in quella occasione, dal conte Stanislas de Clermont-</w:t>
      </w:r>
      <w:proofErr w:type="spellStart"/>
      <w:r w:rsidRPr="00382A0C">
        <w:rPr>
          <w:rFonts w:asciiTheme="minorHAnsi" w:hAnsiTheme="minorHAnsi"/>
          <w:sz w:val="36"/>
          <w:szCs w:val="36"/>
        </w:rPr>
        <w:t>Tonnerre</w:t>
      </w:r>
      <w:proofErr w:type="spellEnd"/>
      <w:r w:rsidRPr="00382A0C">
        <w:rPr>
          <w:rFonts w:asciiTheme="minorHAnsi" w:hAnsiTheme="minorHAnsi"/>
          <w:sz w:val="36"/>
          <w:szCs w:val="36"/>
        </w:rPr>
        <w:t xml:space="preserve">: «Va rifiutato tutto agli ebrei come nazione e concesso tutto come individui. Bisogna che non costituiscano né un corpo politico né un ordine dello Stato: bisogna che siano individualmente dei cittadini». </w:t>
      </w:r>
    </w:p>
    <w:p w14:paraId="43CF5B9E" w14:textId="6E9DC366" w:rsidR="0058349E" w:rsidRPr="00382A0C" w:rsidRDefault="00EF43A1" w:rsidP="00827117">
      <w:pPr>
        <w:jc w:val="both"/>
        <w:rPr>
          <w:rFonts w:asciiTheme="minorHAnsi" w:eastAsiaTheme="majorEastAsia" w:hAnsiTheme="minorHAnsi"/>
          <w:sz w:val="36"/>
          <w:szCs w:val="36"/>
        </w:rPr>
      </w:pPr>
      <w:r w:rsidRPr="00382A0C">
        <w:rPr>
          <w:rFonts w:asciiTheme="minorHAnsi" w:hAnsiTheme="minorHAnsi"/>
          <w:sz w:val="36"/>
          <w:szCs w:val="36"/>
        </w:rPr>
        <w:t xml:space="preserve">     Dal punto vista storico le vicende, anche in Francia, furono complesse e differenziate; un conto era, per esempio, appartenere alla ricca borghesia ebraica sefardita di Bordeaux, altro essere un piccolo prestatore di denaro alsaziano.</w:t>
      </w:r>
      <w:r w:rsidRPr="00382A0C">
        <w:rPr>
          <w:rStyle w:val="Rimandonotaapidipagina"/>
          <w:rFonts w:asciiTheme="minorHAnsi" w:eastAsiaTheme="majorEastAsia" w:hAnsiTheme="minorHAnsi"/>
          <w:sz w:val="36"/>
          <w:szCs w:val="36"/>
        </w:rPr>
        <w:footnoteReference w:id="6"/>
      </w:r>
      <w:r w:rsidRPr="00382A0C">
        <w:rPr>
          <w:rFonts w:asciiTheme="minorHAnsi" w:hAnsiTheme="minorHAnsi"/>
          <w:sz w:val="36"/>
          <w:szCs w:val="36"/>
        </w:rPr>
        <w:t xml:space="preserve"> Inteso come riferimento ideale il principio che tutto vada concesso agli ebrei come individui e nulla sia attribuito loro come nazione rimane, però, una costante. L'emancipazione liberale ottocentesca diede parità di diritti, almeno formali, agli individui senza riconoscere loro, se non in maniera molto </w:t>
      </w:r>
      <w:r w:rsidR="0058349E" w:rsidRPr="00382A0C">
        <w:rPr>
          <w:rFonts w:asciiTheme="minorHAnsi" w:hAnsiTheme="minorHAnsi"/>
          <w:sz w:val="36"/>
          <w:szCs w:val="36"/>
        </w:rPr>
        <w:t>marginale, diritti</w:t>
      </w:r>
      <w:r w:rsidRPr="00382A0C">
        <w:rPr>
          <w:rFonts w:asciiTheme="minorHAnsi" w:hAnsiTheme="minorHAnsi"/>
          <w:sz w:val="36"/>
          <w:szCs w:val="36"/>
        </w:rPr>
        <w:t xml:space="preserve"> collettivi in quanto minoranza, salvo il caso nel quale fosse concentrata geograficamente in una determinata area geografica (realtà che per gli ebrei si realizzava solo molto parzialmente persino nell'Europa orientale).</w:t>
      </w:r>
    </w:p>
    <w:p w14:paraId="00B8ADBC" w14:textId="0CC2F4D6" w:rsidR="0058349E" w:rsidRPr="00382A0C" w:rsidRDefault="00EF43A1" w:rsidP="00827117">
      <w:pPr>
        <w:jc w:val="both"/>
        <w:rPr>
          <w:rFonts w:asciiTheme="minorHAnsi" w:hAnsiTheme="minorHAnsi" w:cstheme="minorHAnsi"/>
          <w:sz w:val="36"/>
          <w:szCs w:val="36"/>
        </w:rPr>
      </w:pPr>
      <w:r w:rsidRPr="00382A0C">
        <w:rPr>
          <w:rFonts w:asciiTheme="minorHAnsi" w:hAnsiTheme="minorHAnsi"/>
          <w:sz w:val="36"/>
          <w:szCs w:val="36"/>
        </w:rPr>
        <w:lastRenderedPageBreak/>
        <w:t xml:space="preserve"> Si assistette quindi a un vero e proprio ribaltamento della situazione precedente nella quale gli ebrei erano intesi come una collettività discriminata e quindi relativamente autonoma al loro interno.</w:t>
      </w:r>
      <w:r w:rsidR="0058349E" w:rsidRPr="00382A0C">
        <w:rPr>
          <w:rFonts w:asciiTheme="minorHAnsi" w:hAnsiTheme="minorHAnsi" w:cstheme="minorHAnsi"/>
          <w:sz w:val="36"/>
          <w:szCs w:val="36"/>
        </w:rPr>
        <w:t xml:space="preserve"> Il filosofo Martin Buber </w:t>
      </w:r>
      <w:r w:rsidR="0064585E" w:rsidRPr="00382A0C">
        <w:rPr>
          <w:rFonts w:asciiTheme="minorHAnsi" w:hAnsiTheme="minorHAnsi" w:cstheme="minorHAnsi"/>
          <w:sz w:val="36"/>
          <w:szCs w:val="36"/>
        </w:rPr>
        <w:t>negli anni Trenta del Novecento sostenne</w:t>
      </w:r>
      <w:r w:rsidR="0058349E" w:rsidRPr="00382A0C">
        <w:rPr>
          <w:rFonts w:asciiTheme="minorHAnsi" w:hAnsiTheme="minorHAnsi" w:cstheme="minorHAnsi"/>
          <w:sz w:val="36"/>
          <w:szCs w:val="36"/>
        </w:rPr>
        <w:t xml:space="preserve"> che le conseguenze negative sull'ebraismo derivate dall’emancipazione sono imputabili non al fenomeno in quanto tale bensì al modo in cui esso è avvenuto: «... gli ebrei sono stati emancipati e ammessi come singoli, non come "Israele". Per me la questione non è che l'emancipazione è stata "manchevole", bensì che è stata falsa; se fosse stata autentica avrebbe liberato e inserito una comunità, non degli individui» (</w:t>
      </w:r>
      <w:r w:rsidR="0058349E" w:rsidRPr="00382A0C">
        <w:rPr>
          <w:rFonts w:asciiTheme="minorHAnsi" w:hAnsiTheme="minorHAnsi" w:cstheme="minorHAnsi"/>
          <w:smallCaps/>
          <w:sz w:val="36"/>
          <w:szCs w:val="36"/>
        </w:rPr>
        <w:t xml:space="preserve">G. Kittel, M. Buber, </w:t>
      </w:r>
      <w:r w:rsidR="0058349E" w:rsidRPr="00382A0C">
        <w:rPr>
          <w:rFonts w:asciiTheme="minorHAnsi" w:hAnsiTheme="minorHAnsi" w:cstheme="minorHAnsi"/>
          <w:i/>
          <w:sz w:val="36"/>
          <w:szCs w:val="36"/>
        </w:rPr>
        <w:t>La questione ebraica. I testi integrali di una polemica pubblica</w:t>
      </w:r>
      <w:r w:rsidR="0058349E" w:rsidRPr="00382A0C">
        <w:rPr>
          <w:rFonts w:asciiTheme="minorHAnsi" w:hAnsiTheme="minorHAnsi" w:cstheme="minorHAnsi"/>
          <w:sz w:val="36"/>
          <w:szCs w:val="36"/>
        </w:rPr>
        <w:t xml:space="preserve">, a cura di G. Bonola, EDB, Bologna 2014, </w:t>
      </w:r>
    </w:p>
    <w:p w14:paraId="3F23D423" w14:textId="77777777" w:rsidR="000F022E" w:rsidRPr="00382A0C" w:rsidRDefault="0058349E" w:rsidP="00827117">
      <w:pPr>
        <w:jc w:val="both"/>
        <w:rPr>
          <w:rFonts w:asciiTheme="minorHAnsi" w:hAnsiTheme="minorHAnsi" w:cstheme="minorHAnsi"/>
          <w:sz w:val="36"/>
          <w:szCs w:val="36"/>
        </w:rPr>
      </w:pPr>
      <w:r w:rsidRPr="00382A0C">
        <w:rPr>
          <w:rFonts w:asciiTheme="minorHAnsi" w:hAnsiTheme="minorHAnsi" w:cstheme="minorHAnsi"/>
          <w:sz w:val="36"/>
          <w:szCs w:val="36"/>
        </w:rPr>
        <w:t>141).</w:t>
      </w:r>
    </w:p>
    <w:p w14:paraId="54DF72F1" w14:textId="77777777" w:rsidR="00EC736A" w:rsidRPr="00382A0C" w:rsidRDefault="00EC736A" w:rsidP="00827117">
      <w:pPr>
        <w:jc w:val="both"/>
        <w:rPr>
          <w:rFonts w:asciiTheme="minorHAnsi" w:hAnsiTheme="minorHAnsi" w:cstheme="minorHAnsi"/>
          <w:sz w:val="36"/>
          <w:szCs w:val="36"/>
        </w:rPr>
      </w:pPr>
    </w:p>
    <w:p w14:paraId="44A56266" w14:textId="7B285205" w:rsidR="0058349E" w:rsidRPr="00382A0C" w:rsidRDefault="004562DA" w:rsidP="00827117">
      <w:pPr>
        <w:jc w:val="both"/>
        <w:rPr>
          <w:rFonts w:asciiTheme="minorHAnsi" w:hAnsiTheme="minorHAnsi" w:cstheme="minorHAnsi"/>
          <w:sz w:val="36"/>
          <w:szCs w:val="36"/>
        </w:rPr>
      </w:pPr>
      <w:r w:rsidRPr="00382A0C">
        <w:rPr>
          <w:rFonts w:asciiTheme="minorHAnsi" w:hAnsiTheme="minorHAnsi"/>
          <w:sz w:val="36"/>
          <w:szCs w:val="36"/>
        </w:rPr>
        <w:t>L</w:t>
      </w:r>
      <w:r w:rsidR="00EF43A1" w:rsidRPr="00382A0C">
        <w:rPr>
          <w:rFonts w:asciiTheme="minorHAnsi" w:hAnsiTheme="minorHAnsi"/>
          <w:sz w:val="36"/>
          <w:szCs w:val="36"/>
        </w:rPr>
        <w:t xml:space="preserve">'incontro di una tradizione millenaria con le istanze teoriche e pratiche di una cultura politico-giuridica, prima liberale e poi liberal-democratica, </w:t>
      </w:r>
      <w:r w:rsidR="0058349E" w:rsidRPr="00382A0C">
        <w:rPr>
          <w:rFonts w:asciiTheme="minorHAnsi" w:hAnsiTheme="minorHAnsi"/>
          <w:sz w:val="36"/>
          <w:szCs w:val="36"/>
        </w:rPr>
        <w:t>ha</w:t>
      </w:r>
      <w:r w:rsidR="00EF43A1" w:rsidRPr="00382A0C">
        <w:rPr>
          <w:rFonts w:asciiTheme="minorHAnsi" w:hAnsiTheme="minorHAnsi"/>
          <w:sz w:val="36"/>
          <w:szCs w:val="36"/>
        </w:rPr>
        <w:t xml:space="preserve"> avuto conseguenze di grande rilevanza all'interno del mondo ebraico. In particolar modo ciò è avvenuto allorché la questione nazionale ebraica, intrinsecamente legata a una dimensione collettiva, è diventata, soprattutto grazie ai movimenti sionistici, un riferimento cruciale.</w:t>
      </w:r>
      <w:r w:rsidRPr="00382A0C">
        <w:rPr>
          <w:rFonts w:asciiTheme="minorHAnsi" w:hAnsiTheme="minorHAnsi" w:cstheme="minorHAnsi"/>
          <w:sz w:val="36"/>
          <w:szCs w:val="36"/>
        </w:rPr>
        <w:t xml:space="preserve"> </w:t>
      </w:r>
    </w:p>
    <w:p w14:paraId="21AB860E" w14:textId="4A433D9E" w:rsidR="004562DA" w:rsidRPr="00382A0C" w:rsidRDefault="0058349E" w:rsidP="00827117">
      <w:pPr>
        <w:pStyle w:val="Corpotesto"/>
        <w:spacing w:after="0"/>
        <w:jc w:val="both"/>
        <w:rPr>
          <w:rFonts w:asciiTheme="minorHAnsi" w:hAnsiTheme="minorHAnsi" w:cstheme="minorHAnsi"/>
          <w:sz w:val="36"/>
          <w:szCs w:val="36"/>
        </w:rPr>
      </w:pPr>
      <w:r w:rsidRPr="00382A0C">
        <w:rPr>
          <w:rFonts w:asciiTheme="minorHAnsi" w:hAnsiTheme="minorHAnsi" w:cstheme="minorHAnsi"/>
          <w:sz w:val="36"/>
          <w:szCs w:val="36"/>
        </w:rPr>
        <w:t>L</w:t>
      </w:r>
      <w:r w:rsidR="004562DA" w:rsidRPr="00382A0C">
        <w:rPr>
          <w:rFonts w:asciiTheme="minorHAnsi" w:hAnsiTheme="minorHAnsi" w:cstheme="minorHAnsi"/>
          <w:sz w:val="36"/>
          <w:szCs w:val="36"/>
        </w:rPr>
        <w:t xml:space="preserve">’Europa è un passaggio imprescindibile anche per l’attuale definirsi complessivo del mondo ebraico. Questa conclusione non appare affatto scalfita dalla constatazione che, dopo la Seconda guerra mondiale, il continente europeo non rappresenta più lo spazio entro cui abita effettivamente la maggioranza della popolazione ebraica. Gli spostamenti interni alla Diaspora ebraica, provocati prima dalle persecuzioni a cavallo tra Otto e Novecento nell’Europa orientale, </w:t>
      </w:r>
      <w:r w:rsidR="004562DA" w:rsidRPr="00382A0C">
        <w:rPr>
          <w:rFonts w:asciiTheme="minorHAnsi" w:hAnsiTheme="minorHAnsi" w:cstheme="minorHAnsi"/>
          <w:sz w:val="36"/>
          <w:szCs w:val="36"/>
        </w:rPr>
        <w:lastRenderedPageBreak/>
        <w:t xml:space="preserve">gli effetti della </w:t>
      </w:r>
      <w:r w:rsidRPr="00382A0C">
        <w:rPr>
          <w:rFonts w:asciiTheme="minorHAnsi" w:hAnsiTheme="minorHAnsi" w:cstheme="minorHAnsi"/>
          <w:sz w:val="36"/>
          <w:szCs w:val="36"/>
        </w:rPr>
        <w:t>Shoah</w:t>
      </w:r>
      <w:r w:rsidR="004562DA" w:rsidRPr="00382A0C">
        <w:rPr>
          <w:rFonts w:asciiTheme="minorHAnsi" w:hAnsiTheme="minorHAnsi" w:cstheme="minorHAnsi"/>
          <w:sz w:val="36"/>
          <w:szCs w:val="36"/>
        </w:rPr>
        <w:t xml:space="preserve"> e infine le immigrazioni avvenute dopo il 1948, hanno fatto sì che oggi la netta maggioranza della popolazione ebraica viva o negli Stati Uniti o nello Stato d’Israele. Anche in riferimento a questo quadro l’importanza della civiltà europea resta comunque determinante. Senza di essa infatti non si comprenderebbero i punti nevralgici che connettono il mondo ebraico alla modernità. Nessuno dei </w:t>
      </w:r>
      <w:r w:rsidR="00CF0C89" w:rsidRPr="00382A0C">
        <w:rPr>
          <w:rFonts w:asciiTheme="minorHAnsi" w:hAnsiTheme="minorHAnsi" w:cstheme="minorHAnsi"/>
          <w:sz w:val="36"/>
          <w:szCs w:val="36"/>
        </w:rPr>
        <w:t xml:space="preserve">due </w:t>
      </w:r>
      <w:r w:rsidR="004562DA" w:rsidRPr="00382A0C">
        <w:rPr>
          <w:rFonts w:asciiTheme="minorHAnsi" w:hAnsiTheme="minorHAnsi" w:cstheme="minorHAnsi"/>
          <w:sz w:val="36"/>
          <w:szCs w:val="36"/>
        </w:rPr>
        <w:t xml:space="preserve">principali eventi che hanno contraddistinto la storia ebraica negli ultimi due secoli </w:t>
      </w:r>
      <w:r w:rsidR="00CF0C89" w:rsidRPr="00382A0C">
        <w:rPr>
          <w:rFonts w:asciiTheme="minorHAnsi" w:hAnsiTheme="minorHAnsi" w:cstheme="minorHAnsi"/>
          <w:sz w:val="36"/>
          <w:szCs w:val="36"/>
        </w:rPr>
        <w:t>sionismo e Shoah è comprensibile senza un</w:t>
      </w:r>
      <w:r w:rsidR="004562DA" w:rsidRPr="00382A0C">
        <w:rPr>
          <w:rFonts w:asciiTheme="minorHAnsi" w:hAnsiTheme="minorHAnsi" w:cstheme="minorHAnsi"/>
          <w:sz w:val="36"/>
          <w:szCs w:val="36"/>
        </w:rPr>
        <w:t xml:space="preserve"> riferimento alla storia europea.</w:t>
      </w:r>
    </w:p>
    <w:p w14:paraId="19563121" w14:textId="2A15CC4E" w:rsidR="00EF43A1" w:rsidRPr="00382A0C" w:rsidRDefault="004562DA" w:rsidP="00827117">
      <w:pPr>
        <w:rPr>
          <w:rFonts w:asciiTheme="minorHAnsi" w:hAnsiTheme="minorHAnsi"/>
          <w:sz w:val="36"/>
          <w:szCs w:val="36"/>
        </w:rPr>
      </w:pPr>
      <w:r w:rsidRPr="00382A0C">
        <w:rPr>
          <w:rFonts w:asciiTheme="minorHAnsi" w:hAnsiTheme="minorHAnsi" w:cstheme="minorHAnsi"/>
          <w:sz w:val="36"/>
          <w:szCs w:val="36"/>
        </w:rPr>
        <w:t xml:space="preserve">   </w:t>
      </w:r>
    </w:p>
    <w:p w14:paraId="6E182EF0" w14:textId="3658372E" w:rsidR="00EF43A1" w:rsidRDefault="00382A0C" w:rsidP="00827117">
      <w:pPr>
        <w:jc w:val="both"/>
        <w:rPr>
          <w:rFonts w:asciiTheme="minorHAnsi" w:hAnsiTheme="minorHAnsi" w:cstheme="minorHAnsi"/>
          <w:b/>
          <w:bCs/>
          <w:color w:val="C45911" w:themeColor="accent2" w:themeShade="BF"/>
          <w:sz w:val="36"/>
          <w:szCs w:val="36"/>
        </w:rPr>
      </w:pPr>
      <w:r>
        <w:rPr>
          <w:rFonts w:asciiTheme="minorHAnsi" w:hAnsiTheme="minorHAnsi" w:cstheme="minorHAnsi"/>
          <w:b/>
          <w:bCs/>
          <w:color w:val="C45911" w:themeColor="accent2" w:themeShade="BF"/>
          <w:sz w:val="36"/>
          <w:szCs w:val="36"/>
        </w:rPr>
        <w:t xml:space="preserve">   </w:t>
      </w:r>
      <w:r w:rsidR="006C66ED">
        <w:rPr>
          <w:rFonts w:asciiTheme="minorHAnsi" w:hAnsiTheme="minorHAnsi" w:cstheme="minorHAnsi"/>
          <w:b/>
          <w:bCs/>
          <w:color w:val="C45911" w:themeColor="accent2" w:themeShade="BF"/>
          <w:sz w:val="36"/>
          <w:szCs w:val="36"/>
        </w:rPr>
        <w:t>4.</w:t>
      </w:r>
      <w:r>
        <w:rPr>
          <w:rFonts w:asciiTheme="minorHAnsi" w:hAnsiTheme="minorHAnsi" w:cstheme="minorHAnsi"/>
          <w:b/>
          <w:bCs/>
          <w:color w:val="C45911" w:themeColor="accent2" w:themeShade="BF"/>
          <w:sz w:val="36"/>
          <w:szCs w:val="36"/>
        </w:rPr>
        <w:t>Alcuni ragguagli sul movimento sionista</w:t>
      </w:r>
    </w:p>
    <w:p w14:paraId="5C364B85" w14:textId="77777777" w:rsidR="00FF085B" w:rsidRDefault="003A5560" w:rsidP="00827117">
      <w:pPr>
        <w:jc w:val="both"/>
        <w:rPr>
          <w:rFonts w:asciiTheme="minorHAnsi" w:hAnsiTheme="minorHAnsi" w:cstheme="minorHAnsi"/>
          <w:color w:val="000000" w:themeColor="text1"/>
          <w:sz w:val="36"/>
          <w:szCs w:val="36"/>
        </w:rPr>
      </w:pPr>
      <w:r>
        <w:rPr>
          <w:rFonts w:asciiTheme="minorHAnsi" w:hAnsiTheme="minorHAnsi" w:cstheme="minorHAnsi"/>
          <w:b/>
          <w:bCs/>
          <w:color w:val="C45911" w:themeColor="accent2" w:themeShade="BF"/>
          <w:sz w:val="36"/>
          <w:szCs w:val="36"/>
        </w:rPr>
        <w:t xml:space="preserve">  </w:t>
      </w:r>
      <w:r>
        <w:rPr>
          <w:rFonts w:asciiTheme="minorHAnsi" w:hAnsiTheme="minorHAnsi" w:cstheme="minorHAnsi"/>
          <w:color w:val="C45911" w:themeColor="accent2" w:themeShade="BF"/>
          <w:sz w:val="36"/>
          <w:szCs w:val="36"/>
        </w:rPr>
        <w:t xml:space="preserve"> </w:t>
      </w:r>
      <w:r w:rsidRPr="003A5560">
        <w:rPr>
          <w:rFonts w:asciiTheme="minorHAnsi" w:hAnsiTheme="minorHAnsi" w:cstheme="minorHAnsi"/>
          <w:color w:val="000000" w:themeColor="text1"/>
          <w:sz w:val="36"/>
          <w:szCs w:val="36"/>
        </w:rPr>
        <w:t xml:space="preserve">In uno dei suoi aspetti principali </w:t>
      </w:r>
      <w:r>
        <w:rPr>
          <w:rFonts w:asciiTheme="minorHAnsi" w:hAnsiTheme="minorHAnsi" w:cstheme="minorHAnsi"/>
          <w:color w:val="000000" w:themeColor="text1"/>
          <w:sz w:val="36"/>
          <w:szCs w:val="36"/>
        </w:rPr>
        <w:t>il sionismo è definibile come la variante ebraica della questione nazionale</w:t>
      </w:r>
      <w:r w:rsidR="00FF085B">
        <w:rPr>
          <w:rFonts w:asciiTheme="minorHAnsi" w:hAnsiTheme="minorHAnsi" w:cstheme="minorHAnsi"/>
          <w:color w:val="000000" w:themeColor="text1"/>
          <w:sz w:val="36"/>
          <w:szCs w:val="36"/>
        </w:rPr>
        <w:t xml:space="preserve"> otto-novecentesca.</w:t>
      </w:r>
      <w:r>
        <w:rPr>
          <w:rFonts w:asciiTheme="minorHAnsi" w:hAnsiTheme="minorHAnsi" w:cstheme="minorHAnsi"/>
          <w:color w:val="000000" w:themeColor="text1"/>
          <w:sz w:val="36"/>
          <w:szCs w:val="36"/>
        </w:rPr>
        <w:t xml:space="preserve"> </w:t>
      </w:r>
    </w:p>
    <w:p w14:paraId="2C199660" w14:textId="31AC8763" w:rsidR="0036684D" w:rsidRPr="00FF085B" w:rsidRDefault="0036684D" w:rsidP="00827117">
      <w:pPr>
        <w:jc w:val="both"/>
        <w:rPr>
          <w:rFonts w:asciiTheme="minorHAnsi" w:hAnsiTheme="minorHAnsi" w:cstheme="minorHAnsi"/>
          <w:color w:val="000000" w:themeColor="text1"/>
          <w:sz w:val="36"/>
          <w:szCs w:val="36"/>
        </w:rPr>
      </w:pPr>
      <w:r w:rsidRPr="00382A0C">
        <w:rPr>
          <w:rFonts w:asciiTheme="minorHAnsi" w:hAnsiTheme="minorHAnsi" w:cstheme="minorHAnsi"/>
          <w:sz w:val="36"/>
          <w:szCs w:val="36"/>
        </w:rPr>
        <w:t>L’Ottocento aveva sancito per i paesi europei due modalità principali per coniugare il problema dello stato-nazione: la via dell’indipendenza e quella dell’unità. A seconda delle aree geografiche prevaleva l’una o l’altra, oppure, come nel Risorgimento italiano, vi era spazio per entrambe. Di contro il sionismo non può ricondursi né all’uno, né all’altro di questi modelli. La lotta per l’indipendenza è quella di un popolo, residente in un determinato territorio, che vuole scrollare dalle proprie spalle il giogo di un potere straniero. Unità significa che i molti stati o staterelli presenti sul suolo patrio devono por fine alla frammentazione e dar luogo a una sola entità sovrana. In nessuno di questi due casi è previsto un vasto spostamento di popolazione verso un altro territorio: ad andarsene devono essere piuttosto le autorità straniere e, a volte, anche minoranze giudicate estranee alla nazione.</w:t>
      </w:r>
    </w:p>
    <w:p w14:paraId="77EB70B4" w14:textId="77777777" w:rsidR="00F85C5F"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lastRenderedPageBreak/>
        <w:t>Quando nel 1948 fu proclamata l’indipendenza dello Stato d’Israele entrambi i fenomeni sopraelencati trovarono qualche riscontro: l’autorità mandataria britannica se ne andò e si ebbero un numero cospicuo di profughi arabo-palestinesi. Tuttavia, all’inizio dei movimenti sionistici, le dinamiche furono, per forza di cose, diverse: per costituire un senso nazionale occorreva che ci fosse</w:t>
      </w:r>
      <w:r w:rsidR="00B704E7">
        <w:rPr>
          <w:rFonts w:asciiTheme="minorHAnsi" w:hAnsiTheme="minorHAnsi" w:cstheme="minorHAnsi"/>
          <w:sz w:val="36"/>
          <w:szCs w:val="36"/>
        </w:rPr>
        <w:t>, in un’epoca di espansionismo coloniale europeo,</w:t>
      </w:r>
      <w:r w:rsidRPr="00382A0C">
        <w:rPr>
          <w:rFonts w:asciiTheme="minorHAnsi" w:hAnsiTheme="minorHAnsi" w:cstheme="minorHAnsi"/>
          <w:sz w:val="36"/>
          <w:szCs w:val="36"/>
        </w:rPr>
        <w:t xml:space="preserve"> una diffusa emigrazione dall’ Europa verso un territorio facente parte dell’Impero Ottomano. La varietà delle correnti sioniste e la diversità dei loro modi di operare </w:t>
      </w:r>
      <w:r w:rsidR="00827117" w:rsidRPr="00382A0C">
        <w:rPr>
          <w:rFonts w:asciiTheme="minorHAnsi" w:hAnsiTheme="minorHAnsi" w:cstheme="minorHAnsi"/>
          <w:sz w:val="36"/>
          <w:szCs w:val="36"/>
        </w:rPr>
        <w:t>non dipendevano tanto</w:t>
      </w:r>
      <w:r w:rsidRPr="00382A0C">
        <w:rPr>
          <w:rFonts w:asciiTheme="minorHAnsi" w:hAnsiTheme="minorHAnsi" w:cstheme="minorHAnsi"/>
          <w:sz w:val="36"/>
          <w:szCs w:val="36"/>
        </w:rPr>
        <w:t xml:space="preserve"> da questo processo quanto dalla molteplicità dei parametri impiegati per definire «nazione» il popolo ebraico</w:t>
      </w:r>
      <w:r w:rsidR="00827117">
        <w:rPr>
          <w:rFonts w:asciiTheme="minorHAnsi" w:hAnsiTheme="minorHAnsi" w:cstheme="minorHAnsi"/>
          <w:sz w:val="36"/>
          <w:szCs w:val="36"/>
        </w:rPr>
        <w:t xml:space="preserve"> e dal modo di pensare il nesso Stato-nazione. </w:t>
      </w:r>
    </w:p>
    <w:p w14:paraId="398A22C4" w14:textId="2A6C5E26" w:rsidR="00F85C5F" w:rsidRPr="00F141F5" w:rsidRDefault="00F85C5F" w:rsidP="00F85C5F">
      <w:pPr>
        <w:ind w:firstLine="284"/>
        <w:jc w:val="both"/>
        <w:rPr>
          <w:rFonts w:asciiTheme="minorHAnsi" w:hAnsiTheme="minorHAnsi" w:cstheme="minorHAnsi"/>
          <w:sz w:val="36"/>
          <w:szCs w:val="36"/>
        </w:rPr>
      </w:pPr>
      <w:r w:rsidRPr="00F141F5">
        <w:rPr>
          <w:rFonts w:asciiTheme="minorHAnsi" w:hAnsiTheme="minorHAnsi" w:cstheme="minorHAnsi"/>
          <w:sz w:val="36"/>
          <w:szCs w:val="36"/>
        </w:rPr>
        <w:t>Proprio con questa chiave si apre la sezione storica del recentissimo volumetto di. L’alternativa proposta dall’autrice si incentra sulla domanda se il sionismo sia da considerarsi un movimento di auto-determinazione nazionale oppure se vada inteso come un evento coloniale</w:t>
      </w:r>
      <w:r w:rsidR="00F141F5">
        <w:rPr>
          <w:rFonts w:asciiTheme="minorHAnsi" w:hAnsiTheme="minorHAnsi" w:cstheme="minorHAnsi"/>
          <w:sz w:val="36"/>
          <w:szCs w:val="36"/>
        </w:rPr>
        <w:t>?</w:t>
      </w:r>
      <w:r w:rsidRPr="00F141F5">
        <w:rPr>
          <w:rFonts w:asciiTheme="minorHAnsi" w:hAnsiTheme="minorHAnsi" w:cstheme="minorHAnsi"/>
          <w:sz w:val="36"/>
          <w:szCs w:val="36"/>
        </w:rPr>
        <w:t xml:space="preserve">  Tra tutte le ideologie abbracciate dagli ebrei in epoca moderna il sionismo è la più radicale in ragione del fatto di proporre un distacco molto netto dal passato. Questa cesura rivoluzionaria comportò una rottura dentro il mondo ebraico; ciò avvenne, in larga misura, a motivo della proposta di costruire uno stato nazionale, ipotesi fino ad allora del tutto inedita in ambito ebraico.</w:t>
      </w:r>
      <w:r w:rsidR="00F141F5">
        <w:rPr>
          <w:rStyle w:val="Rimandonotaapidipagina"/>
          <w:rFonts w:asciiTheme="minorHAnsi" w:hAnsiTheme="minorHAnsi" w:cstheme="minorHAnsi"/>
          <w:sz w:val="36"/>
          <w:szCs w:val="36"/>
        </w:rPr>
        <w:footnoteReference w:id="7"/>
      </w:r>
      <w:r w:rsidRPr="00F141F5">
        <w:rPr>
          <w:rFonts w:asciiTheme="minorHAnsi" w:hAnsiTheme="minorHAnsi" w:cstheme="minorHAnsi"/>
          <w:sz w:val="36"/>
          <w:szCs w:val="36"/>
        </w:rPr>
        <w:t xml:space="preserve"> Il progetto dapprincipio suscitò non poche opposizioni interne, attualmente però appannaggio soltanto di frange marginali.</w:t>
      </w:r>
      <w:r w:rsidRPr="00F141F5">
        <w:rPr>
          <w:rStyle w:val="Rimandonotaapidipagina"/>
          <w:rFonts w:asciiTheme="minorHAnsi" w:eastAsiaTheme="majorEastAsia" w:hAnsiTheme="minorHAnsi" w:cstheme="minorHAnsi"/>
          <w:sz w:val="36"/>
          <w:szCs w:val="36"/>
        </w:rPr>
        <w:footnoteReference w:id="8"/>
      </w:r>
      <w:r w:rsidRPr="00F141F5">
        <w:rPr>
          <w:rFonts w:asciiTheme="minorHAnsi" w:hAnsiTheme="minorHAnsi" w:cstheme="minorHAnsi"/>
          <w:sz w:val="36"/>
          <w:szCs w:val="36"/>
        </w:rPr>
        <w:t xml:space="preserve"> Si trattò di un fenomeno non paragonabile ad altre questioni nazionali. Il movimento sionista esigeva, per l’erezione di uno Stato governato da ebrei, lo spostamento di </w:t>
      </w:r>
      <w:r w:rsidRPr="00F141F5">
        <w:rPr>
          <w:rFonts w:asciiTheme="minorHAnsi" w:hAnsiTheme="minorHAnsi" w:cstheme="minorHAnsi"/>
          <w:sz w:val="36"/>
          <w:szCs w:val="36"/>
        </w:rPr>
        <w:lastRenderedPageBreak/>
        <w:t xml:space="preserve">popolazione dall’Europa verso un territorio sito in un altro continente (la successiva emigrazione ebraica in Israele dai paesi arabi, dall’Iran e dall’Etiopia dipese dal fatto che lo Stato era già esistente).  Diviene allora inevitabile evocare lo spettro del colonialismo.  Il sionismo non è, però, una realtà paragonabile all’espansione coloniale otto-novecentesca europea; in questo caso infatti la conquista di territori africani e asiatici va ricondotta, per la massima parte, ad azioni intraprese da Stati già esistenti. Un gruppo di immigrati convinto di essere portatore di una forma di civiltà superiore che si incontra e soprattutto si scontra con una popolazione già insediata in un determinato territorio esprime, invece, una dinamica paragonabile a quella che ebbe luogo con la nascita e l’allargamento territoriale degli Stati Uniti. Se si decidesse di adottare la categoria coloniale bisognerebbe ricorrere a quella di </w:t>
      </w:r>
      <w:proofErr w:type="spellStart"/>
      <w:r w:rsidRPr="00F141F5">
        <w:rPr>
          <w:rFonts w:asciiTheme="minorHAnsi" w:hAnsiTheme="minorHAnsi" w:cstheme="minorHAnsi"/>
          <w:i/>
          <w:iCs/>
          <w:sz w:val="36"/>
          <w:szCs w:val="36"/>
        </w:rPr>
        <w:t>settler</w:t>
      </w:r>
      <w:proofErr w:type="spellEnd"/>
      <w:r w:rsidRPr="00F141F5">
        <w:rPr>
          <w:rFonts w:asciiTheme="minorHAnsi" w:hAnsiTheme="minorHAnsi" w:cstheme="minorHAnsi"/>
          <w:i/>
          <w:iCs/>
          <w:sz w:val="36"/>
          <w:szCs w:val="36"/>
        </w:rPr>
        <w:t xml:space="preserve"> </w:t>
      </w:r>
      <w:proofErr w:type="spellStart"/>
      <w:r w:rsidRPr="00F141F5">
        <w:rPr>
          <w:rFonts w:asciiTheme="minorHAnsi" w:hAnsiTheme="minorHAnsi" w:cstheme="minorHAnsi"/>
          <w:i/>
          <w:iCs/>
          <w:sz w:val="36"/>
          <w:szCs w:val="36"/>
        </w:rPr>
        <w:t>colonialism</w:t>
      </w:r>
      <w:proofErr w:type="spellEnd"/>
      <w:r w:rsidRPr="00F141F5">
        <w:rPr>
          <w:rFonts w:asciiTheme="minorHAnsi" w:hAnsiTheme="minorHAnsi" w:cstheme="minorHAnsi"/>
          <w:i/>
          <w:iCs/>
          <w:sz w:val="36"/>
          <w:szCs w:val="36"/>
        </w:rPr>
        <w:t xml:space="preserve"> </w:t>
      </w:r>
      <w:r w:rsidRPr="00F141F5">
        <w:rPr>
          <w:rFonts w:asciiTheme="minorHAnsi" w:hAnsiTheme="minorHAnsi" w:cstheme="minorHAnsi"/>
          <w:sz w:val="36"/>
          <w:szCs w:val="36"/>
        </w:rPr>
        <w:t xml:space="preserve">(colonialismo di insediamento). </w:t>
      </w:r>
      <w:r w:rsidR="00F141F5">
        <w:rPr>
          <w:rStyle w:val="Rimandonotaapidipagina"/>
          <w:rFonts w:asciiTheme="minorHAnsi" w:hAnsiTheme="minorHAnsi" w:cstheme="minorHAnsi"/>
          <w:sz w:val="36"/>
          <w:szCs w:val="36"/>
        </w:rPr>
        <w:footnoteReference w:id="9"/>
      </w:r>
      <w:r w:rsidRPr="00F141F5">
        <w:rPr>
          <w:rFonts w:asciiTheme="minorHAnsi" w:hAnsiTheme="minorHAnsi" w:cstheme="minorHAnsi"/>
          <w:sz w:val="36"/>
          <w:szCs w:val="36"/>
        </w:rPr>
        <w:t xml:space="preserve">Questa forma coloniale comporta sempre la presenza di una forte marginalizzazione, apartheid o sfruttamento della popolazione autoctona, in genere, però, essa non dà luogo a espulsioni forzate di popolazione.  </w:t>
      </w:r>
    </w:p>
    <w:p w14:paraId="6CAAA701" w14:textId="03649153" w:rsidR="0036684D" w:rsidRPr="00F141F5" w:rsidRDefault="0036684D" w:rsidP="00827117">
      <w:pPr>
        <w:ind w:firstLine="170"/>
        <w:jc w:val="both"/>
        <w:rPr>
          <w:rFonts w:asciiTheme="minorHAnsi" w:hAnsiTheme="minorHAnsi" w:cstheme="minorHAnsi"/>
          <w:sz w:val="36"/>
          <w:szCs w:val="36"/>
        </w:rPr>
      </w:pPr>
    </w:p>
    <w:p w14:paraId="2A314C63" w14:textId="77777777" w:rsidR="00B704E7"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Alle spalle del sorgere dell’ideologia sionista si è soliti individuare la presenza </w:t>
      </w:r>
      <w:r w:rsidR="00B704E7" w:rsidRPr="00382A0C">
        <w:rPr>
          <w:rFonts w:asciiTheme="minorHAnsi" w:hAnsiTheme="minorHAnsi" w:cstheme="minorHAnsi"/>
          <w:sz w:val="36"/>
          <w:szCs w:val="36"/>
        </w:rPr>
        <w:t>di tre</w:t>
      </w:r>
      <w:r w:rsidRPr="00382A0C">
        <w:rPr>
          <w:rFonts w:asciiTheme="minorHAnsi" w:hAnsiTheme="minorHAnsi" w:cstheme="minorHAnsi"/>
          <w:sz w:val="36"/>
          <w:szCs w:val="36"/>
        </w:rPr>
        <w:t xml:space="preserve"> ordini di fattori convergenti. </w:t>
      </w:r>
    </w:p>
    <w:p w14:paraId="6710E20E" w14:textId="77777777" w:rsidR="00B704E7" w:rsidRDefault="0036684D" w:rsidP="00827117">
      <w:pPr>
        <w:jc w:val="both"/>
        <w:rPr>
          <w:rFonts w:asciiTheme="minorHAnsi" w:hAnsiTheme="minorHAnsi" w:cstheme="minorHAnsi"/>
          <w:sz w:val="36"/>
          <w:szCs w:val="36"/>
        </w:rPr>
      </w:pPr>
      <w:r w:rsidRPr="00B704E7">
        <w:rPr>
          <w:rFonts w:asciiTheme="minorHAnsi" w:hAnsiTheme="minorHAnsi" w:cstheme="minorHAnsi"/>
          <w:sz w:val="36"/>
          <w:szCs w:val="36"/>
        </w:rPr>
        <w:t xml:space="preserve">Innanzitutto vi è la secolarizzazione della speranza messianica ebraica di ritornare dalla dispersione alla terra d’Israele. Senza la memoria di </w:t>
      </w:r>
      <w:r w:rsidRPr="00B704E7">
        <w:rPr>
          <w:rFonts w:asciiTheme="minorHAnsi" w:hAnsiTheme="minorHAnsi" w:cstheme="minorHAnsi"/>
          <w:i/>
          <w:iCs/>
          <w:sz w:val="36"/>
          <w:szCs w:val="36"/>
        </w:rPr>
        <w:t>Erez Israel</w:t>
      </w:r>
      <w:r w:rsidRPr="00B704E7">
        <w:rPr>
          <w:rFonts w:asciiTheme="minorHAnsi" w:hAnsiTheme="minorHAnsi" w:cstheme="minorHAnsi"/>
          <w:sz w:val="36"/>
          <w:szCs w:val="36"/>
        </w:rPr>
        <w:t xml:space="preserve">, trasmessa di generazione in </w:t>
      </w:r>
      <w:r w:rsidR="00B704E7" w:rsidRPr="00B704E7">
        <w:rPr>
          <w:rFonts w:asciiTheme="minorHAnsi" w:hAnsiTheme="minorHAnsi" w:cstheme="minorHAnsi"/>
          <w:sz w:val="36"/>
          <w:szCs w:val="36"/>
        </w:rPr>
        <w:t>generazione, senza</w:t>
      </w:r>
      <w:r w:rsidRPr="00B704E7">
        <w:rPr>
          <w:rFonts w:asciiTheme="minorHAnsi" w:hAnsiTheme="minorHAnsi" w:cstheme="minorHAnsi"/>
          <w:sz w:val="36"/>
          <w:szCs w:val="36"/>
        </w:rPr>
        <w:t xml:space="preserve"> la </w:t>
      </w:r>
      <w:r w:rsidR="00B704E7" w:rsidRPr="00B704E7">
        <w:rPr>
          <w:rFonts w:asciiTheme="minorHAnsi" w:hAnsiTheme="minorHAnsi" w:cstheme="minorHAnsi"/>
          <w:sz w:val="36"/>
          <w:szCs w:val="36"/>
        </w:rPr>
        <w:t>quotidiana celebrazione</w:t>
      </w:r>
      <w:r w:rsidRPr="00B704E7">
        <w:rPr>
          <w:rFonts w:asciiTheme="minorHAnsi" w:hAnsiTheme="minorHAnsi" w:cstheme="minorHAnsi"/>
          <w:sz w:val="36"/>
          <w:szCs w:val="36"/>
        </w:rPr>
        <w:t xml:space="preserve"> liturgica di un futuro ritorno a Gerusalemme accompagnato dalla riedificazione escatologica del Terzo Tempio, il riferimento alla terra si sarebbe estinto nel corso </w:t>
      </w:r>
      <w:r w:rsidRPr="00B704E7">
        <w:rPr>
          <w:rFonts w:asciiTheme="minorHAnsi" w:hAnsiTheme="minorHAnsi" w:cstheme="minorHAnsi"/>
          <w:sz w:val="36"/>
          <w:szCs w:val="36"/>
        </w:rPr>
        <w:lastRenderedPageBreak/>
        <w:t xml:space="preserve">dei secoli. Tuttavia è ancor più importante affermare che, mentre la speranza messianica si manifestava nell’invocazione e nell’attesa, la scelta sionista si estrinsecò nella volontà di agire sul piano storico. Non a caso, all’inizio, l’ortodossia rabbinica, quasi all’unanimità, la condannò in virtù della volontà di voler sostituire l’azione umana a quella divina. </w:t>
      </w:r>
    </w:p>
    <w:p w14:paraId="6BBD09EC" w14:textId="77777777" w:rsidR="00827117" w:rsidRDefault="0036684D" w:rsidP="00827117">
      <w:pPr>
        <w:jc w:val="both"/>
        <w:rPr>
          <w:rFonts w:asciiTheme="minorHAnsi" w:hAnsiTheme="minorHAnsi" w:cstheme="minorHAnsi"/>
          <w:sz w:val="36"/>
          <w:szCs w:val="36"/>
        </w:rPr>
      </w:pPr>
      <w:r w:rsidRPr="00B704E7">
        <w:rPr>
          <w:rFonts w:asciiTheme="minorHAnsi" w:hAnsiTheme="minorHAnsi" w:cstheme="minorHAnsi"/>
          <w:sz w:val="36"/>
          <w:szCs w:val="36"/>
        </w:rPr>
        <w:t xml:space="preserve"> Il secondo ordine di fattori è costituito dalle ondate di massacri e pogrom abbattutesi sugli ebrei nella seconda metà del XIX secolo in Europa Orientale. Questa concausa, però, non va eccessivamente esaltata. Infatti all’antisemitismo si poteva rispondere anche in altro modo: dal punto di vista quantitativo la replica più consistente ed efficace fu l’emigrazione al di là dell’Atlantico. L’America evitava i pogrom più della Palestina. Perciò il sionismo si presenta soprattutto come un tipo di risposta ai problemi suscitati dall’incontro degli ebrei con la modernità. In particolare, esso si confrontò con i fenomeni storici collegati al risveglio dei popoli oppressi, specie con il Risorgimento italiano: uno dei testi </w:t>
      </w:r>
      <w:proofErr w:type="spellStart"/>
      <w:r w:rsidRPr="00B704E7">
        <w:rPr>
          <w:rFonts w:asciiTheme="minorHAnsi" w:hAnsiTheme="minorHAnsi" w:cstheme="minorHAnsi"/>
          <w:sz w:val="36"/>
          <w:szCs w:val="36"/>
        </w:rPr>
        <w:t>protosionisti</w:t>
      </w:r>
      <w:proofErr w:type="spellEnd"/>
      <w:r w:rsidRPr="00B704E7">
        <w:rPr>
          <w:rFonts w:asciiTheme="minorHAnsi" w:hAnsiTheme="minorHAnsi" w:cstheme="minorHAnsi"/>
          <w:sz w:val="36"/>
          <w:szCs w:val="36"/>
        </w:rPr>
        <w:t xml:space="preserve"> è Roma</w:t>
      </w:r>
      <w:r w:rsidRPr="00B704E7">
        <w:rPr>
          <w:rFonts w:asciiTheme="minorHAnsi" w:hAnsiTheme="minorHAnsi" w:cstheme="minorHAnsi"/>
          <w:i/>
          <w:iCs/>
          <w:sz w:val="36"/>
          <w:szCs w:val="36"/>
        </w:rPr>
        <w:t xml:space="preserve"> e Gerusalemme</w:t>
      </w:r>
      <w:r w:rsidRPr="00B704E7">
        <w:rPr>
          <w:rFonts w:asciiTheme="minorHAnsi" w:hAnsiTheme="minorHAnsi" w:cstheme="minorHAnsi"/>
          <w:sz w:val="36"/>
          <w:szCs w:val="36"/>
        </w:rPr>
        <w:t xml:space="preserve"> di Moses Hess. Si può quindi condividere il giudizio espresso da Shlomo </w:t>
      </w:r>
      <w:proofErr w:type="spellStart"/>
      <w:r w:rsidRPr="00B704E7">
        <w:rPr>
          <w:rFonts w:asciiTheme="minorHAnsi" w:hAnsiTheme="minorHAnsi" w:cstheme="minorHAnsi"/>
          <w:sz w:val="36"/>
          <w:szCs w:val="36"/>
        </w:rPr>
        <w:t>Avineri</w:t>
      </w:r>
      <w:proofErr w:type="spellEnd"/>
      <w:r w:rsidRPr="00B704E7">
        <w:rPr>
          <w:rFonts w:asciiTheme="minorHAnsi" w:hAnsiTheme="minorHAnsi" w:cstheme="minorHAnsi"/>
          <w:sz w:val="36"/>
          <w:szCs w:val="36"/>
        </w:rPr>
        <w:t xml:space="preserve"> secondo cui il nazionalismo ebraico: </w:t>
      </w:r>
    </w:p>
    <w:p w14:paraId="69D5D22A" w14:textId="378E5E1B" w:rsidR="0036684D" w:rsidRPr="00B704E7" w:rsidRDefault="0036684D" w:rsidP="00827117">
      <w:pPr>
        <w:jc w:val="both"/>
        <w:rPr>
          <w:rFonts w:asciiTheme="minorHAnsi" w:hAnsiTheme="minorHAnsi" w:cstheme="minorHAnsi"/>
          <w:sz w:val="36"/>
          <w:szCs w:val="36"/>
          <w:vertAlign w:val="superscript"/>
        </w:rPr>
      </w:pPr>
      <w:r w:rsidRPr="00B704E7">
        <w:rPr>
          <w:rFonts w:asciiTheme="minorHAnsi" w:hAnsiTheme="minorHAnsi" w:cstheme="minorHAnsi"/>
          <w:sz w:val="36"/>
          <w:szCs w:val="36"/>
        </w:rPr>
        <w:t>«rappresenta molto più la sfida del liberalismo e del nazionalismo, che una risposta all’antisemitismo, e perciò non sarebbe potuto comparire prima del XIX e del XX sec. […] il sionismo rappresenta la ricerca dell’autodeterminazione e della liberazione nelle moderne condizioni della secolarizzazione del liberalismo».</w:t>
      </w:r>
    </w:p>
    <w:p w14:paraId="230F0C66" w14:textId="27DA2C45" w:rsidR="007815EE" w:rsidRDefault="0036684D" w:rsidP="00827117">
      <w:pPr>
        <w:ind w:firstLine="170"/>
        <w:jc w:val="both"/>
        <w:rPr>
          <w:rFonts w:asciiTheme="minorHAnsi" w:hAnsiTheme="minorHAnsi" w:cstheme="minorHAnsi"/>
          <w:sz w:val="36"/>
          <w:szCs w:val="36"/>
        </w:rPr>
      </w:pPr>
      <w:r w:rsidRPr="00B704E7">
        <w:rPr>
          <w:rFonts w:asciiTheme="minorHAnsi" w:hAnsiTheme="minorHAnsi" w:cstheme="minorHAnsi"/>
          <w:sz w:val="36"/>
          <w:szCs w:val="36"/>
        </w:rPr>
        <w:t xml:space="preserve">Un problema destinato a crescere nel corso dei decenni fu il rapporto tra la componente ebraica che, grazie agli insediamenti sionistici, si stava definendo come nazione sul suolo della Palestina, e la popolazione araba. Anno dopo anno, la cronaca continuava sempre più a smentire che il popolo </w:t>
      </w:r>
      <w:r w:rsidRPr="00B704E7">
        <w:rPr>
          <w:rFonts w:asciiTheme="minorHAnsi" w:hAnsiTheme="minorHAnsi" w:cstheme="minorHAnsi"/>
          <w:sz w:val="36"/>
          <w:szCs w:val="36"/>
        </w:rPr>
        <w:lastRenderedPageBreak/>
        <w:t>senza terra potesse trasferirsi su una</w:t>
      </w:r>
      <w:r w:rsidRPr="00382A0C">
        <w:rPr>
          <w:rFonts w:asciiTheme="minorHAnsi" w:hAnsiTheme="minorHAnsi" w:cstheme="minorHAnsi"/>
          <w:sz w:val="36"/>
          <w:szCs w:val="36"/>
        </w:rPr>
        <w:t xml:space="preserve"> terra senza popolo.</w:t>
      </w:r>
      <w:r w:rsidR="00536578">
        <w:rPr>
          <w:rStyle w:val="Rimandonotaapidipagina"/>
          <w:rFonts w:asciiTheme="minorHAnsi" w:hAnsiTheme="minorHAnsi" w:cstheme="minorHAnsi"/>
          <w:sz w:val="36"/>
          <w:szCs w:val="36"/>
        </w:rPr>
        <w:footnoteReference w:id="10"/>
      </w:r>
      <w:r w:rsidRPr="00382A0C">
        <w:rPr>
          <w:rFonts w:asciiTheme="minorHAnsi" w:hAnsiTheme="minorHAnsi" w:cstheme="minorHAnsi"/>
          <w:sz w:val="36"/>
          <w:szCs w:val="36"/>
        </w:rPr>
        <w:t xml:space="preserve"> Già nel 1907 </w:t>
      </w:r>
      <w:proofErr w:type="spellStart"/>
      <w:r w:rsidR="007C2747" w:rsidRPr="00382A0C">
        <w:rPr>
          <w:rFonts w:asciiTheme="minorHAnsi" w:hAnsiTheme="minorHAnsi" w:cstheme="minorHAnsi"/>
          <w:sz w:val="36"/>
          <w:szCs w:val="36"/>
        </w:rPr>
        <w:t>Achad</w:t>
      </w:r>
      <w:proofErr w:type="spellEnd"/>
      <w:r w:rsidR="007C2747" w:rsidRPr="00382A0C">
        <w:rPr>
          <w:rFonts w:asciiTheme="minorHAnsi" w:hAnsiTheme="minorHAnsi" w:cstheme="minorHAnsi"/>
          <w:sz w:val="36"/>
          <w:szCs w:val="36"/>
        </w:rPr>
        <w:t xml:space="preserve"> ha</w:t>
      </w:r>
      <w:r w:rsidRPr="00382A0C">
        <w:rPr>
          <w:rFonts w:asciiTheme="minorHAnsi" w:hAnsiTheme="minorHAnsi" w:cstheme="minorHAnsi"/>
          <w:sz w:val="36"/>
          <w:szCs w:val="36"/>
        </w:rPr>
        <w:t>-‘</w:t>
      </w:r>
      <w:proofErr w:type="spellStart"/>
      <w:r w:rsidRPr="00382A0C">
        <w:rPr>
          <w:rFonts w:asciiTheme="minorHAnsi" w:hAnsiTheme="minorHAnsi" w:cstheme="minorHAnsi"/>
          <w:sz w:val="36"/>
          <w:szCs w:val="36"/>
        </w:rPr>
        <w:t>Am</w:t>
      </w:r>
      <w:proofErr w:type="spellEnd"/>
      <w:r w:rsidRPr="00382A0C">
        <w:rPr>
          <w:rFonts w:asciiTheme="minorHAnsi" w:hAnsiTheme="minorHAnsi" w:cstheme="minorHAnsi"/>
          <w:sz w:val="36"/>
          <w:szCs w:val="36"/>
        </w:rPr>
        <w:t xml:space="preserve">, il fondatore del cosiddetto sionismo culturale, notava che, mentre dal di fuori si era propensi a giudicare l’arabo come una specie di selvaggio (vale a dire, gli si applicava la visione che gli imperialisti avevano </w:t>
      </w:r>
      <w:r w:rsidR="007815EE" w:rsidRPr="00382A0C">
        <w:rPr>
          <w:rFonts w:asciiTheme="minorHAnsi" w:hAnsiTheme="minorHAnsi" w:cstheme="minorHAnsi"/>
          <w:sz w:val="36"/>
          <w:szCs w:val="36"/>
        </w:rPr>
        <w:t>delle popolazioni</w:t>
      </w:r>
      <w:r w:rsidRPr="00382A0C">
        <w:rPr>
          <w:rFonts w:asciiTheme="minorHAnsi" w:hAnsiTheme="minorHAnsi" w:cstheme="minorHAnsi"/>
          <w:sz w:val="36"/>
          <w:szCs w:val="36"/>
        </w:rPr>
        <w:t xml:space="preserve"> indigene), la realtà, osservata da vicino, stava in modo assai diverso: </w:t>
      </w:r>
    </w:p>
    <w:p w14:paraId="4AEC7863" w14:textId="2589F985" w:rsidR="0036684D"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«gli arabi e specialmente quelli che vivono in città osservano la nostra attività nel paese e il suo scopo, ma non dicono nulla e non si fanno notare, perché non vedono nel momento nella nostra attività alcun pericolo per il loro futuro. […] Ma </w:t>
      </w:r>
      <w:r w:rsidR="007815EE" w:rsidRPr="00382A0C">
        <w:rPr>
          <w:rFonts w:asciiTheme="minorHAnsi" w:hAnsiTheme="minorHAnsi" w:cstheme="minorHAnsi"/>
          <w:sz w:val="36"/>
          <w:szCs w:val="36"/>
        </w:rPr>
        <w:t>se verrà</w:t>
      </w:r>
      <w:r w:rsidRPr="00382A0C">
        <w:rPr>
          <w:rFonts w:asciiTheme="minorHAnsi" w:hAnsiTheme="minorHAnsi" w:cstheme="minorHAnsi"/>
          <w:sz w:val="36"/>
          <w:szCs w:val="36"/>
        </w:rPr>
        <w:t xml:space="preserve"> il tempo in cui la vita del nostro popolo si sarà sviluppata in Palestina in modo tale che essi si sentiranno più o meno limitati, allora non ci cederanno facilmente il posto».</w:t>
      </w:r>
    </w:p>
    <w:p w14:paraId="12B8A6A6" w14:textId="7D946517" w:rsidR="007C2747" w:rsidRDefault="007C2747" w:rsidP="00827117">
      <w:pPr>
        <w:ind w:firstLine="170"/>
        <w:jc w:val="both"/>
        <w:rPr>
          <w:rFonts w:asciiTheme="minorHAnsi" w:hAnsiTheme="minorHAnsi" w:cstheme="minorHAnsi"/>
          <w:sz w:val="36"/>
          <w:szCs w:val="36"/>
        </w:rPr>
      </w:pPr>
      <w:r w:rsidRPr="007C2747">
        <w:rPr>
          <w:rFonts w:asciiTheme="minorHAnsi" w:hAnsiTheme="minorHAnsi" w:cstheme="minorHAnsi"/>
          <w:sz w:val="36"/>
          <w:szCs w:val="36"/>
        </w:rPr>
        <w:t xml:space="preserve">Nel 1902 Theodor Herzl scrisse un romano utopistico intitolato </w:t>
      </w:r>
      <w:proofErr w:type="spellStart"/>
      <w:r w:rsidRPr="007C2747">
        <w:rPr>
          <w:rFonts w:asciiTheme="minorHAnsi" w:hAnsiTheme="minorHAnsi" w:cstheme="minorHAnsi"/>
          <w:i/>
          <w:iCs/>
          <w:sz w:val="36"/>
          <w:szCs w:val="36"/>
        </w:rPr>
        <w:t>Altneuland</w:t>
      </w:r>
      <w:proofErr w:type="spellEnd"/>
      <w:r w:rsidRPr="007C2747">
        <w:rPr>
          <w:rFonts w:asciiTheme="minorHAnsi" w:hAnsiTheme="minorHAnsi" w:cstheme="minorHAnsi"/>
          <w:i/>
          <w:iCs/>
          <w:sz w:val="36"/>
          <w:szCs w:val="36"/>
        </w:rPr>
        <w:t xml:space="preserve"> </w:t>
      </w:r>
      <w:r w:rsidRPr="007C2747">
        <w:rPr>
          <w:rFonts w:asciiTheme="minorHAnsi" w:hAnsiTheme="minorHAnsi" w:cstheme="minorHAnsi"/>
          <w:sz w:val="36"/>
          <w:szCs w:val="36"/>
        </w:rPr>
        <w:t>(«La terra vecchia e nuova», tradotto in ebraico con il titolo di Tel Aviv). Nel suo svolgimento i due protagonisti (</w:t>
      </w:r>
      <w:proofErr w:type="spellStart"/>
      <w:r w:rsidRPr="007C2747">
        <w:rPr>
          <w:rFonts w:asciiTheme="minorHAnsi" w:hAnsiTheme="minorHAnsi" w:cstheme="minorHAnsi"/>
          <w:sz w:val="36"/>
          <w:szCs w:val="36"/>
        </w:rPr>
        <w:t>Löwenberg</w:t>
      </w:r>
      <w:proofErr w:type="spellEnd"/>
      <w:r w:rsidRPr="007C2747">
        <w:rPr>
          <w:rFonts w:asciiTheme="minorHAnsi" w:hAnsiTheme="minorHAnsi" w:cstheme="minorHAnsi"/>
          <w:sz w:val="36"/>
          <w:szCs w:val="36"/>
        </w:rPr>
        <w:t xml:space="preserve"> e </w:t>
      </w:r>
      <w:proofErr w:type="spellStart"/>
      <w:r w:rsidRPr="007C2747">
        <w:rPr>
          <w:rFonts w:asciiTheme="minorHAnsi" w:hAnsiTheme="minorHAnsi" w:cstheme="minorHAnsi"/>
          <w:sz w:val="36"/>
          <w:szCs w:val="36"/>
        </w:rPr>
        <w:t>Kingscourt</w:t>
      </w:r>
      <w:proofErr w:type="spellEnd"/>
      <w:r w:rsidRPr="007C2747">
        <w:rPr>
          <w:rFonts w:asciiTheme="minorHAnsi" w:hAnsiTheme="minorHAnsi" w:cstheme="minorHAnsi"/>
          <w:sz w:val="36"/>
          <w:szCs w:val="36"/>
        </w:rPr>
        <w:t xml:space="preserve">) prendono progressivamente atto che gli arabi hanno pieni diritti come gli ebrei. La scena del libro è popolata da ingegneri arabi, mercanti armeni e greci e da esponenti di altri gruppi etnici. I due giungono al paese all’epoca di una campagna elettorale nel corso della quale un rabbino fanatico propone una piattaforma politica da cui si deduce che il paese appartiene </w:t>
      </w:r>
      <w:r w:rsidRPr="007C2747">
        <w:rPr>
          <w:rFonts w:asciiTheme="minorHAnsi" w:hAnsiTheme="minorHAnsi" w:cstheme="minorHAnsi"/>
          <w:sz w:val="36"/>
          <w:szCs w:val="36"/>
        </w:rPr>
        <w:lastRenderedPageBreak/>
        <w:t>esclusivamente agli ebrei e chiede che i cittadini non ebrei siano privati del diritto di voto. Alla fine però viene sconfitto</w:t>
      </w:r>
      <w:r w:rsidR="003E4E3E">
        <w:rPr>
          <w:rFonts w:asciiTheme="minorHAnsi" w:hAnsiTheme="minorHAnsi" w:cstheme="minorHAnsi"/>
          <w:sz w:val="36"/>
          <w:szCs w:val="36"/>
        </w:rPr>
        <w:t>.</w:t>
      </w:r>
    </w:p>
    <w:p w14:paraId="3D81013D" w14:textId="77777777" w:rsidR="00F141F5" w:rsidRDefault="00F141F5" w:rsidP="00827117">
      <w:pPr>
        <w:ind w:firstLine="170"/>
        <w:jc w:val="both"/>
        <w:rPr>
          <w:rFonts w:asciiTheme="minorHAnsi" w:hAnsiTheme="minorHAnsi" w:cstheme="minorHAnsi"/>
          <w:sz w:val="36"/>
          <w:szCs w:val="36"/>
        </w:rPr>
      </w:pPr>
    </w:p>
    <w:p w14:paraId="7EA61EAB" w14:textId="77777777" w:rsidR="00077093" w:rsidRDefault="00077093" w:rsidP="00827117">
      <w:pPr>
        <w:ind w:firstLine="170"/>
        <w:jc w:val="both"/>
        <w:rPr>
          <w:rFonts w:asciiTheme="minorHAnsi" w:hAnsiTheme="minorHAnsi" w:cstheme="minorHAnsi"/>
          <w:b/>
          <w:bCs/>
          <w:color w:val="C45911" w:themeColor="accent2" w:themeShade="BF"/>
          <w:sz w:val="36"/>
          <w:szCs w:val="36"/>
        </w:rPr>
      </w:pPr>
    </w:p>
    <w:p w14:paraId="1EB2C3D9" w14:textId="77777777" w:rsidR="00C6658C" w:rsidRDefault="00C6658C" w:rsidP="00C6658C">
      <w:pPr>
        <w:pStyle w:val="NormaleWeb"/>
        <w:shd w:val="clear" w:color="auto" w:fill="FFFFFF"/>
        <w:spacing w:before="0" w:beforeAutospacing="0" w:after="0" w:afterAutospacing="0" w:line="360" w:lineRule="auto"/>
        <w:ind w:firstLine="284"/>
        <w:jc w:val="both"/>
        <w:rPr>
          <w:rFonts w:asciiTheme="minorHAnsi" w:hAnsiTheme="minorHAnsi" w:cstheme="minorHAnsi"/>
          <w:sz w:val="28"/>
          <w:szCs w:val="28"/>
        </w:rPr>
      </w:pPr>
      <w:r w:rsidRPr="00C6658C">
        <w:rPr>
          <w:rFonts w:asciiTheme="minorHAnsi" w:hAnsiTheme="minorHAnsi" w:cstheme="minorHAnsi"/>
          <w:b/>
          <w:bCs/>
          <w:color w:val="C45911" w:themeColor="accent2" w:themeShade="BF"/>
          <w:sz w:val="36"/>
          <w:szCs w:val="36"/>
        </w:rPr>
        <w:t>5. La dichiarazione Balfour</w:t>
      </w:r>
      <w:r w:rsidRPr="00C6658C">
        <w:rPr>
          <w:rFonts w:asciiTheme="minorHAnsi" w:hAnsiTheme="minorHAnsi" w:cstheme="minorHAnsi"/>
          <w:sz w:val="28"/>
          <w:szCs w:val="28"/>
        </w:rPr>
        <w:t xml:space="preserve"> </w:t>
      </w:r>
      <w:r>
        <w:rPr>
          <w:rFonts w:asciiTheme="minorHAnsi" w:hAnsiTheme="minorHAnsi" w:cstheme="minorHAnsi"/>
          <w:sz w:val="28"/>
          <w:szCs w:val="28"/>
        </w:rPr>
        <w:t>l</w:t>
      </w:r>
    </w:p>
    <w:p w14:paraId="2CE9164F" w14:textId="58FB94CA" w:rsidR="00311B3E" w:rsidRPr="00311B3E" w:rsidRDefault="00311B3E" w:rsidP="00311B3E">
      <w:pPr>
        <w:pStyle w:val="NormaleWeb"/>
        <w:shd w:val="clear" w:color="auto" w:fill="FFFFFF"/>
        <w:spacing w:before="120" w:beforeAutospacing="0" w:after="240" w:afterAutospacing="0"/>
        <w:rPr>
          <w:rFonts w:asciiTheme="minorHAnsi" w:hAnsiTheme="minorHAnsi" w:cstheme="minorHAnsi"/>
          <w:color w:val="202122"/>
          <w:sz w:val="36"/>
          <w:szCs w:val="36"/>
        </w:rPr>
      </w:pPr>
      <w:r w:rsidRPr="00311B3E">
        <w:rPr>
          <w:rFonts w:asciiTheme="minorHAnsi" w:hAnsiTheme="minorHAnsi" w:cstheme="minorHAnsi"/>
          <w:color w:val="202122"/>
          <w:sz w:val="36"/>
          <w:szCs w:val="36"/>
        </w:rPr>
        <w:t xml:space="preserve">Si tratta di una lettera scritta dall'allora ministro degli esteri del Regno </w:t>
      </w:r>
      <w:r w:rsidRPr="00311B3E">
        <w:rPr>
          <w:rFonts w:asciiTheme="minorHAnsi" w:hAnsiTheme="minorHAnsi" w:cstheme="minorHAnsi"/>
          <w:sz w:val="36"/>
          <w:szCs w:val="36"/>
        </w:rPr>
        <w:t>Unito </w:t>
      </w:r>
      <w:hyperlink r:id="rId8" w:tooltip="Arthur James Balfour" w:history="1">
        <w:r w:rsidRPr="00311B3E">
          <w:rPr>
            <w:rStyle w:val="Collegamentoipertestuale"/>
            <w:rFonts w:asciiTheme="minorHAnsi" w:eastAsiaTheme="majorEastAsia" w:hAnsiTheme="minorHAnsi" w:cstheme="minorHAnsi"/>
            <w:color w:val="auto"/>
            <w:sz w:val="36"/>
            <w:szCs w:val="36"/>
            <w:u w:val="none"/>
          </w:rPr>
          <w:t>Arthur Balfour</w:t>
        </w:r>
      </w:hyperlink>
      <w:r w:rsidRPr="00311B3E">
        <w:rPr>
          <w:rFonts w:asciiTheme="minorHAnsi" w:hAnsiTheme="minorHAnsi" w:cstheme="minorHAnsi"/>
          <w:color w:val="202122"/>
          <w:sz w:val="36"/>
          <w:szCs w:val="36"/>
        </w:rPr>
        <w:t> e indirizzata a </w:t>
      </w:r>
      <w:hyperlink r:id="rId9" w:tooltip="Lionel Walter Rothschild" w:history="1">
        <w:r w:rsidRPr="00311B3E">
          <w:rPr>
            <w:rStyle w:val="Collegamentoipertestuale"/>
            <w:rFonts w:asciiTheme="minorHAnsi" w:eastAsiaTheme="majorEastAsia" w:hAnsiTheme="minorHAnsi" w:cstheme="minorHAnsi"/>
            <w:color w:val="auto"/>
            <w:sz w:val="36"/>
            <w:szCs w:val="36"/>
            <w:u w:val="none"/>
          </w:rPr>
          <w:t>Lord Rothschild</w:t>
        </w:r>
      </w:hyperlink>
      <w:r w:rsidRPr="00311B3E">
        <w:rPr>
          <w:rFonts w:asciiTheme="minorHAnsi" w:hAnsiTheme="minorHAnsi" w:cstheme="minorHAnsi"/>
          <w:color w:val="202122"/>
          <w:sz w:val="36"/>
          <w:szCs w:val="36"/>
        </w:rPr>
        <w:t> (inteso, quest'ultimo, come principale rappresentante della </w:t>
      </w:r>
      <w:hyperlink r:id="rId10" w:tooltip="Comunità ebraica" w:history="1">
        <w:r w:rsidRPr="00311B3E">
          <w:rPr>
            <w:rStyle w:val="Collegamentoipertestuale"/>
            <w:rFonts w:asciiTheme="minorHAnsi" w:eastAsiaTheme="majorEastAsia" w:hAnsiTheme="minorHAnsi" w:cstheme="minorHAnsi"/>
            <w:color w:val="auto"/>
            <w:sz w:val="36"/>
            <w:szCs w:val="36"/>
            <w:u w:val="none"/>
          </w:rPr>
          <w:t>comunità ebraica</w:t>
        </w:r>
      </w:hyperlink>
      <w:r w:rsidRPr="00311B3E">
        <w:rPr>
          <w:rFonts w:asciiTheme="minorHAnsi" w:hAnsiTheme="minorHAnsi" w:cstheme="minorHAnsi"/>
          <w:color w:val="202122"/>
          <w:sz w:val="36"/>
          <w:szCs w:val="36"/>
        </w:rPr>
        <w:t xml:space="preserve"> inglese e referente </w:t>
      </w:r>
      <w:r w:rsidRPr="00311B3E">
        <w:rPr>
          <w:rFonts w:asciiTheme="minorHAnsi" w:hAnsiTheme="minorHAnsi" w:cstheme="minorHAnsi"/>
          <w:sz w:val="36"/>
          <w:szCs w:val="36"/>
        </w:rPr>
        <w:t>del </w:t>
      </w:r>
      <w:hyperlink r:id="rId11" w:tooltip="Sionismo" w:history="1">
        <w:r w:rsidRPr="00311B3E">
          <w:rPr>
            <w:rStyle w:val="Collegamentoipertestuale"/>
            <w:rFonts w:asciiTheme="minorHAnsi" w:eastAsiaTheme="majorEastAsia" w:hAnsiTheme="minorHAnsi" w:cstheme="minorHAnsi"/>
            <w:color w:val="auto"/>
            <w:sz w:val="36"/>
            <w:szCs w:val="36"/>
            <w:u w:val="none"/>
          </w:rPr>
          <w:t>movimento sionista</w:t>
        </w:r>
      </w:hyperlink>
      <w:r w:rsidRPr="00311B3E">
        <w:rPr>
          <w:rFonts w:asciiTheme="minorHAnsi" w:hAnsiTheme="minorHAnsi" w:cstheme="minorHAnsi"/>
          <w:color w:val="202122"/>
          <w:sz w:val="36"/>
          <w:szCs w:val="36"/>
        </w:rPr>
        <w:t>)</w:t>
      </w:r>
      <w:r>
        <w:rPr>
          <w:rFonts w:asciiTheme="minorHAnsi" w:hAnsiTheme="minorHAnsi" w:cstheme="minorHAnsi"/>
          <w:color w:val="202122"/>
          <w:sz w:val="36"/>
          <w:szCs w:val="36"/>
        </w:rPr>
        <w:t>. Le linee in esso contenute</w:t>
      </w:r>
      <w:r w:rsidRPr="00311B3E">
        <w:rPr>
          <w:rFonts w:asciiTheme="minorHAnsi" w:hAnsiTheme="minorHAnsi" w:cstheme="minorHAnsi"/>
          <w:color w:val="202122"/>
          <w:sz w:val="36"/>
          <w:szCs w:val="36"/>
        </w:rPr>
        <w:t xml:space="preserve"> emerse</w:t>
      </w:r>
      <w:r>
        <w:rPr>
          <w:rFonts w:asciiTheme="minorHAnsi" w:hAnsiTheme="minorHAnsi" w:cstheme="minorHAnsi"/>
          <w:color w:val="202122"/>
          <w:sz w:val="36"/>
          <w:szCs w:val="36"/>
        </w:rPr>
        <w:t>ro</w:t>
      </w:r>
      <w:r w:rsidRPr="00311B3E">
        <w:rPr>
          <w:rFonts w:asciiTheme="minorHAnsi" w:hAnsiTheme="minorHAnsi" w:cstheme="minorHAnsi"/>
          <w:color w:val="202122"/>
          <w:sz w:val="36"/>
          <w:szCs w:val="36"/>
        </w:rPr>
        <w:t xml:space="preserve"> all'interno della riunione di gabinetto del 31 ottobre 1917.</w:t>
      </w:r>
    </w:p>
    <w:p w14:paraId="05099837" w14:textId="2761F4AF" w:rsidR="00311B3E" w:rsidRDefault="00311B3E" w:rsidP="00311B3E">
      <w:pPr>
        <w:pStyle w:val="NormaleWeb"/>
        <w:shd w:val="clear" w:color="auto" w:fill="FFFFFF"/>
        <w:spacing w:before="120" w:beforeAutospacing="0" w:after="240" w:afterAutospacing="0"/>
        <w:rPr>
          <w:rFonts w:asciiTheme="minorHAnsi" w:hAnsiTheme="minorHAnsi" w:cstheme="minorHAnsi"/>
          <w:sz w:val="36"/>
          <w:szCs w:val="36"/>
        </w:rPr>
      </w:pPr>
      <w:r w:rsidRPr="00311B3E">
        <w:rPr>
          <w:rFonts w:asciiTheme="minorHAnsi" w:hAnsiTheme="minorHAnsi" w:cstheme="minorHAnsi"/>
          <w:color w:val="202122"/>
          <w:sz w:val="36"/>
          <w:szCs w:val="36"/>
        </w:rPr>
        <w:t>La dichiarazione Balfour fu poi inserita all'interno del </w:t>
      </w:r>
      <w:hyperlink r:id="rId12" w:tooltip="Trattato di Sèvres" w:history="1">
        <w:r w:rsidRPr="00311B3E">
          <w:rPr>
            <w:rStyle w:val="Collegamentoipertestuale"/>
            <w:rFonts w:asciiTheme="minorHAnsi" w:eastAsiaTheme="majorEastAsia" w:hAnsiTheme="minorHAnsi" w:cstheme="minorHAnsi"/>
            <w:color w:val="auto"/>
            <w:sz w:val="36"/>
            <w:szCs w:val="36"/>
            <w:u w:val="none"/>
          </w:rPr>
          <w:t>trattato di Sèvres</w:t>
        </w:r>
      </w:hyperlink>
      <w:r w:rsidRPr="00311B3E">
        <w:rPr>
          <w:rFonts w:asciiTheme="minorHAnsi" w:hAnsiTheme="minorHAnsi" w:cstheme="minorHAnsi"/>
          <w:color w:val="202122"/>
          <w:sz w:val="36"/>
          <w:szCs w:val="36"/>
        </w:rPr>
        <w:t>, che stabiliva la fine delle ostilità con l</w:t>
      </w:r>
      <w:r>
        <w:rPr>
          <w:rFonts w:asciiTheme="minorHAnsi" w:hAnsiTheme="minorHAnsi" w:cstheme="minorHAnsi"/>
          <w:color w:val="202122"/>
          <w:sz w:val="36"/>
          <w:szCs w:val="36"/>
        </w:rPr>
        <w:t>a Turchia</w:t>
      </w:r>
      <w:r w:rsidRPr="00311B3E">
        <w:rPr>
          <w:rFonts w:asciiTheme="minorHAnsi" w:hAnsiTheme="minorHAnsi" w:cstheme="minorHAnsi"/>
          <w:color w:val="202122"/>
          <w:sz w:val="36"/>
          <w:szCs w:val="36"/>
        </w:rPr>
        <w:t> e assegnava la Palestina al </w:t>
      </w:r>
      <w:hyperlink r:id="rId13" w:tooltip="Regno Unito di Gran Bretagna e Irlanda" w:history="1">
        <w:r w:rsidRPr="00311B3E">
          <w:rPr>
            <w:rStyle w:val="Collegamentoipertestuale"/>
            <w:rFonts w:asciiTheme="minorHAnsi" w:eastAsiaTheme="majorEastAsia" w:hAnsiTheme="minorHAnsi" w:cstheme="minorHAnsi"/>
            <w:color w:val="auto"/>
            <w:sz w:val="36"/>
            <w:szCs w:val="36"/>
            <w:u w:val="none"/>
          </w:rPr>
          <w:t>Regno Unito</w:t>
        </w:r>
      </w:hyperlink>
      <w:r w:rsidRPr="00311B3E">
        <w:rPr>
          <w:rFonts w:asciiTheme="minorHAnsi" w:hAnsiTheme="minorHAnsi" w:cstheme="minorHAnsi"/>
          <w:sz w:val="36"/>
          <w:szCs w:val="36"/>
        </w:rPr>
        <w:t> (in seguito titolare del </w:t>
      </w:r>
      <w:hyperlink r:id="rId14" w:tooltip="Mandato britannico della Palestina" w:history="1">
        <w:r w:rsidRPr="00311B3E">
          <w:rPr>
            <w:rStyle w:val="Collegamentoipertestuale"/>
            <w:rFonts w:asciiTheme="minorHAnsi" w:eastAsiaTheme="majorEastAsia" w:hAnsiTheme="minorHAnsi" w:cstheme="minorHAnsi"/>
            <w:color w:val="auto"/>
            <w:sz w:val="36"/>
            <w:szCs w:val="36"/>
            <w:u w:val="none"/>
          </w:rPr>
          <w:t>mandato della Palestina</w:t>
        </w:r>
      </w:hyperlink>
      <w:r w:rsidRPr="00311B3E">
        <w:rPr>
          <w:rFonts w:asciiTheme="minorHAnsi" w:hAnsiTheme="minorHAnsi" w:cstheme="minorHAnsi"/>
          <w:sz w:val="36"/>
          <w:szCs w:val="36"/>
        </w:rPr>
        <w:t>)</w:t>
      </w:r>
    </w:p>
    <w:p w14:paraId="7545F2BB" w14:textId="7A49C4AC" w:rsidR="001B3AF4" w:rsidRDefault="001B3AF4" w:rsidP="001B3AF4">
      <w:pPr>
        <w:pStyle w:val="NormaleWeb"/>
        <w:shd w:val="clear" w:color="auto" w:fill="FFFFFF"/>
        <w:spacing w:before="120" w:beforeAutospacing="0" w:after="240" w:afterAutospacing="0"/>
        <w:jc w:val="center"/>
        <w:rPr>
          <w:rFonts w:asciiTheme="minorHAnsi" w:hAnsiTheme="minorHAnsi" w:cstheme="minorHAnsi"/>
          <w:sz w:val="36"/>
          <w:szCs w:val="36"/>
        </w:rPr>
      </w:pPr>
      <w:r>
        <w:rPr>
          <w:noProof/>
        </w:rPr>
        <w:lastRenderedPageBreak/>
        <w:drawing>
          <wp:inline distT="0" distB="0" distL="0" distR="0" wp14:anchorId="7B0AFA02" wp14:editId="6FF71013">
            <wp:extent cx="6000750" cy="7899425"/>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8808" cy="7910032"/>
                    </a:xfrm>
                    <a:prstGeom prst="rect">
                      <a:avLst/>
                    </a:prstGeom>
                    <a:noFill/>
                    <a:ln>
                      <a:noFill/>
                    </a:ln>
                  </pic:spPr>
                </pic:pic>
              </a:graphicData>
            </a:graphic>
          </wp:inline>
        </w:drawing>
      </w:r>
    </w:p>
    <w:p w14:paraId="512B11CF" w14:textId="77777777" w:rsidR="001B3AF4" w:rsidRPr="00311B3E" w:rsidRDefault="001B3AF4" w:rsidP="00311B3E">
      <w:pPr>
        <w:pStyle w:val="NormaleWeb"/>
        <w:shd w:val="clear" w:color="auto" w:fill="FFFFFF"/>
        <w:spacing w:before="120" w:beforeAutospacing="0" w:after="240" w:afterAutospacing="0"/>
        <w:rPr>
          <w:rFonts w:asciiTheme="minorHAnsi" w:hAnsiTheme="minorHAnsi" w:cstheme="minorHAnsi"/>
          <w:sz w:val="36"/>
          <w:szCs w:val="36"/>
        </w:rPr>
      </w:pPr>
    </w:p>
    <w:p w14:paraId="4258F92C" w14:textId="77777777" w:rsidR="00C6658C" w:rsidRPr="00311B3E" w:rsidRDefault="00C6658C" w:rsidP="00C6658C">
      <w:pPr>
        <w:pStyle w:val="NormaleWeb"/>
        <w:shd w:val="clear" w:color="auto" w:fill="FFFFFF"/>
        <w:spacing w:before="0" w:beforeAutospacing="0" w:after="0" w:afterAutospacing="0" w:line="360" w:lineRule="auto"/>
        <w:ind w:firstLine="284"/>
        <w:jc w:val="both"/>
        <w:rPr>
          <w:rFonts w:asciiTheme="minorHAnsi" w:hAnsiTheme="minorHAnsi" w:cstheme="minorHAnsi"/>
          <w:sz w:val="36"/>
          <w:szCs w:val="36"/>
        </w:rPr>
      </w:pPr>
    </w:p>
    <w:p w14:paraId="42644099" w14:textId="6977AD19" w:rsidR="00C6658C" w:rsidRPr="00C6658C" w:rsidRDefault="00C6658C" w:rsidP="00C6658C">
      <w:pPr>
        <w:pStyle w:val="NormaleWeb"/>
        <w:shd w:val="clear" w:color="auto" w:fill="FFFFFF"/>
        <w:spacing w:before="0" w:beforeAutospacing="0" w:after="0" w:afterAutospacing="0"/>
        <w:ind w:firstLine="284"/>
        <w:jc w:val="both"/>
        <w:rPr>
          <w:rFonts w:asciiTheme="minorHAnsi" w:hAnsiTheme="minorHAnsi" w:cstheme="minorHAnsi"/>
          <w:sz w:val="36"/>
          <w:szCs w:val="36"/>
        </w:rPr>
      </w:pPr>
      <w:r w:rsidRPr="00C6658C">
        <w:rPr>
          <w:rFonts w:asciiTheme="minorHAnsi" w:hAnsiTheme="minorHAnsi" w:cstheme="minorHAnsi"/>
          <w:sz w:val="36"/>
          <w:szCs w:val="36"/>
        </w:rPr>
        <w:t xml:space="preserve">la </w:t>
      </w:r>
      <w:r w:rsidR="00311B3E">
        <w:rPr>
          <w:rFonts w:asciiTheme="minorHAnsi" w:hAnsiTheme="minorHAnsi" w:cstheme="minorHAnsi"/>
          <w:sz w:val="36"/>
          <w:szCs w:val="36"/>
        </w:rPr>
        <w:t>d</w:t>
      </w:r>
      <w:r w:rsidRPr="00C6658C">
        <w:rPr>
          <w:rFonts w:asciiTheme="minorHAnsi" w:hAnsiTheme="minorHAnsi" w:cstheme="minorHAnsi"/>
          <w:sz w:val="36"/>
          <w:szCs w:val="36"/>
        </w:rPr>
        <w:t xml:space="preserve">ichiarazione </w:t>
      </w:r>
      <w:r>
        <w:rPr>
          <w:rFonts w:asciiTheme="minorHAnsi" w:hAnsiTheme="minorHAnsi" w:cstheme="minorHAnsi"/>
          <w:sz w:val="36"/>
          <w:szCs w:val="36"/>
        </w:rPr>
        <w:t xml:space="preserve">può essere assunta </w:t>
      </w:r>
      <w:r w:rsidRPr="00C6658C">
        <w:rPr>
          <w:rFonts w:asciiTheme="minorHAnsi" w:hAnsiTheme="minorHAnsi" w:cstheme="minorHAnsi"/>
          <w:sz w:val="36"/>
          <w:szCs w:val="36"/>
        </w:rPr>
        <w:t xml:space="preserve">come simbolo anticipatore di molte dinamiche successive. Appare evidente che la concessione indicata sia pensabile soltanto in un orizzonte colonialista; va inoltre sottolineato che la componente palestinese (che allora costituiva il 98% della popolazione) sia qualificata tanto per </w:t>
      </w:r>
      <w:r w:rsidRPr="00C6658C">
        <w:rPr>
          <w:rFonts w:asciiTheme="minorHAnsi" w:hAnsiTheme="minorHAnsi" w:cstheme="minorHAnsi"/>
          <w:i/>
          <w:iCs/>
          <w:sz w:val="36"/>
          <w:szCs w:val="36"/>
        </w:rPr>
        <w:t xml:space="preserve">via </w:t>
      </w:r>
      <w:proofErr w:type="spellStart"/>
      <w:r w:rsidRPr="00C6658C">
        <w:rPr>
          <w:rFonts w:asciiTheme="minorHAnsi" w:hAnsiTheme="minorHAnsi" w:cstheme="minorHAnsi"/>
          <w:i/>
          <w:iCs/>
          <w:sz w:val="36"/>
          <w:szCs w:val="36"/>
        </w:rPr>
        <w:t>negationis</w:t>
      </w:r>
      <w:proofErr w:type="spellEnd"/>
      <w:r w:rsidRPr="00C6658C">
        <w:rPr>
          <w:rFonts w:asciiTheme="minorHAnsi" w:hAnsiTheme="minorHAnsi" w:cstheme="minorHAnsi"/>
          <w:i/>
          <w:iCs/>
          <w:sz w:val="36"/>
          <w:szCs w:val="36"/>
        </w:rPr>
        <w:t xml:space="preserve"> </w:t>
      </w:r>
      <w:r w:rsidRPr="00C6658C">
        <w:rPr>
          <w:rFonts w:asciiTheme="minorHAnsi" w:hAnsiTheme="minorHAnsi" w:cstheme="minorHAnsi"/>
          <w:sz w:val="36"/>
          <w:szCs w:val="36"/>
        </w:rPr>
        <w:t xml:space="preserve">(«comunità non ebraiche») quanto accreditata di «diritti civili e religiosi» ma non di qualsivoglia dimensione nazionale; infine l’asserzione secondo cui la costituzione di una «national home» ebraica in Palestina non debba pregiudicare i diritti civili e politici degli ebrei residenti in altre parti del mondo rappresenta il dritto della medaglia sul cui rovescio sta l’attuale nodo che lega tra loro antisionismo e antisemitismo. </w:t>
      </w:r>
    </w:p>
    <w:p w14:paraId="2BB6E16B" w14:textId="1B0EF345" w:rsidR="00077093" w:rsidRPr="00C6658C" w:rsidRDefault="00077093" w:rsidP="00C6658C">
      <w:pPr>
        <w:jc w:val="both"/>
        <w:rPr>
          <w:rFonts w:asciiTheme="minorHAnsi" w:hAnsiTheme="minorHAnsi" w:cstheme="minorHAnsi"/>
          <w:color w:val="C45911" w:themeColor="accent2" w:themeShade="BF"/>
          <w:sz w:val="36"/>
          <w:szCs w:val="36"/>
        </w:rPr>
      </w:pPr>
    </w:p>
    <w:p w14:paraId="6EF233D2" w14:textId="77777777" w:rsidR="00077093" w:rsidRDefault="00077093" w:rsidP="00827117">
      <w:pPr>
        <w:ind w:firstLine="170"/>
        <w:jc w:val="both"/>
        <w:rPr>
          <w:rFonts w:asciiTheme="minorHAnsi" w:hAnsiTheme="minorHAnsi" w:cstheme="minorHAnsi"/>
          <w:b/>
          <w:bCs/>
          <w:color w:val="C45911" w:themeColor="accent2" w:themeShade="BF"/>
          <w:sz w:val="36"/>
          <w:szCs w:val="36"/>
        </w:rPr>
      </w:pPr>
    </w:p>
    <w:p w14:paraId="75CD8991" w14:textId="0902EAAC" w:rsidR="006C66ED" w:rsidRPr="006C66ED" w:rsidRDefault="00C6658C" w:rsidP="00311B3E">
      <w:pPr>
        <w:ind w:firstLine="170"/>
        <w:jc w:val="both"/>
        <w:rPr>
          <w:rFonts w:asciiTheme="minorHAnsi" w:hAnsiTheme="minorHAnsi" w:cstheme="minorHAnsi"/>
          <w:color w:val="C45911" w:themeColor="accent2" w:themeShade="BF"/>
          <w:sz w:val="36"/>
          <w:szCs w:val="36"/>
        </w:rPr>
      </w:pPr>
      <w:r>
        <w:rPr>
          <w:rFonts w:asciiTheme="minorHAnsi" w:hAnsiTheme="minorHAnsi" w:cstheme="minorHAnsi"/>
          <w:b/>
          <w:bCs/>
          <w:color w:val="C45911" w:themeColor="accent2" w:themeShade="BF"/>
          <w:sz w:val="36"/>
          <w:szCs w:val="36"/>
        </w:rPr>
        <w:t>6</w:t>
      </w:r>
      <w:r w:rsidR="006C66ED" w:rsidRPr="006C66ED">
        <w:rPr>
          <w:rFonts w:asciiTheme="minorHAnsi" w:hAnsiTheme="minorHAnsi" w:cstheme="minorHAnsi"/>
          <w:b/>
          <w:bCs/>
          <w:color w:val="C45911" w:themeColor="accent2" w:themeShade="BF"/>
          <w:sz w:val="36"/>
          <w:szCs w:val="36"/>
        </w:rPr>
        <w:t>. Ebrei e arabi nella Palestina mandataria</w:t>
      </w:r>
      <w:r w:rsidR="006C66ED" w:rsidRPr="006C66ED">
        <w:rPr>
          <w:rFonts w:asciiTheme="minorHAnsi" w:hAnsiTheme="minorHAnsi" w:cstheme="minorHAnsi"/>
          <w:color w:val="C45911" w:themeColor="accent2" w:themeShade="BF"/>
          <w:sz w:val="36"/>
          <w:szCs w:val="36"/>
        </w:rPr>
        <w:t xml:space="preserve"> </w:t>
      </w:r>
    </w:p>
    <w:p w14:paraId="5051C9FA" w14:textId="77777777" w:rsidR="006C66ED" w:rsidRDefault="006C66ED" w:rsidP="00827117">
      <w:pPr>
        <w:ind w:firstLine="170"/>
        <w:jc w:val="both"/>
        <w:rPr>
          <w:rFonts w:asciiTheme="minorHAnsi" w:hAnsiTheme="minorHAnsi" w:cstheme="minorHAnsi"/>
          <w:sz w:val="36"/>
          <w:szCs w:val="36"/>
        </w:rPr>
      </w:pPr>
    </w:p>
    <w:p w14:paraId="6CD353B7" w14:textId="685B3E7B" w:rsidR="0036684D" w:rsidRPr="00382A0C" w:rsidRDefault="00C6658C" w:rsidP="00827117">
      <w:pPr>
        <w:ind w:firstLine="170"/>
        <w:jc w:val="both"/>
        <w:rPr>
          <w:rFonts w:asciiTheme="minorHAnsi" w:hAnsiTheme="minorHAnsi" w:cstheme="minorHAnsi"/>
          <w:sz w:val="36"/>
          <w:szCs w:val="36"/>
        </w:rPr>
      </w:pPr>
      <w:r>
        <w:rPr>
          <w:rFonts w:asciiTheme="minorHAnsi" w:hAnsiTheme="minorHAnsi" w:cstheme="minorHAnsi"/>
          <w:b/>
          <w:bCs/>
          <w:color w:val="C45911" w:themeColor="accent2" w:themeShade="BF"/>
          <w:sz w:val="36"/>
          <w:szCs w:val="36"/>
        </w:rPr>
        <w:t>6</w:t>
      </w:r>
      <w:r w:rsidR="006C66ED" w:rsidRPr="00077093">
        <w:rPr>
          <w:rFonts w:asciiTheme="minorHAnsi" w:hAnsiTheme="minorHAnsi" w:cstheme="minorHAnsi"/>
          <w:b/>
          <w:bCs/>
          <w:color w:val="C45911" w:themeColor="accent2" w:themeShade="BF"/>
          <w:sz w:val="36"/>
          <w:szCs w:val="36"/>
        </w:rPr>
        <w:t>.</w:t>
      </w:r>
      <w:r w:rsidR="00077093" w:rsidRPr="00077093">
        <w:rPr>
          <w:rFonts w:asciiTheme="minorHAnsi" w:hAnsiTheme="minorHAnsi" w:cstheme="minorHAnsi"/>
          <w:b/>
          <w:bCs/>
          <w:color w:val="C45911" w:themeColor="accent2" w:themeShade="BF"/>
          <w:sz w:val="36"/>
          <w:szCs w:val="36"/>
        </w:rPr>
        <w:t>1</w:t>
      </w:r>
      <w:r w:rsidR="006C66ED" w:rsidRPr="00077093">
        <w:rPr>
          <w:rFonts w:asciiTheme="minorHAnsi" w:hAnsiTheme="minorHAnsi" w:cstheme="minorHAnsi"/>
          <w:b/>
          <w:bCs/>
          <w:color w:val="C45911" w:themeColor="accent2" w:themeShade="BF"/>
          <w:sz w:val="36"/>
          <w:szCs w:val="36"/>
        </w:rPr>
        <w:t xml:space="preserve"> </w:t>
      </w:r>
      <w:r w:rsidR="00077093" w:rsidRPr="00077093">
        <w:rPr>
          <w:rFonts w:asciiTheme="minorHAnsi" w:hAnsiTheme="minorHAnsi" w:cstheme="minorHAnsi"/>
          <w:b/>
          <w:bCs/>
          <w:color w:val="C45911" w:themeColor="accent2" w:themeShade="BF"/>
          <w:sz w:val="36"/>
          <w:szCs w:val="36"/>
        </w:rPr>
        <w:t xml:space="preserve">L’ipotesi di </w:t>
      </w:r>
      <w:r w:rsidR="006C66ED" w:rsidRPr="00077093">
        <w:rPr>
          <w:rFonts w:asciiTheme="minorHAnsi" w:hAnsiTheme="minorHAnsi" w:cstheme="minorHAnsi"/>
          <w:b/>
          <w:bCs/>
          <w:color w:val="C45911" w:themeColor="accent2" w:themeShade="BF"/>
          <w:sz w:val="36"/>
          <w:szCs w:val="36"/>
        </w:rPr>
        <w:t>Stato binazionale</w:t>
      </w:r>
      <w:r w:rsidR="006C66ED">
        <w:rPr>
          <w:rFonts w:asciiTheme="minorHAnsi" w:hAnsiTheme="minorHAnsi" w:cstheme="minorHAnsi"/>
          <w:sz w:val="36"/>
          <w:szCs w:val="36"/>
        </w:rPr>
        <w:t xml:space="preserve">, </w:t>
      </w:r>
      <w:r w:rsidR="0036684D" w:rsidRPr="00382A0C">
        <w:rPr>
          <w:rFonts w:asciiTheme="minorHAnsi" w:hAnsiTheme="minorHAnsi" w:cstheme="minorHAnsi"/>
          <w:sz w:val="36"/>
          <w:szCs w:val="36"/>
        </w:rPr>
        <w:t xml:space="preserve">Di fronte al pericolo dell’insorgenza di un perenne contrasto tra ebrei e arabi, un piccolo gruppo di intellettuali sionisti prospettò, fin dai primi anni venti, l’urgenza politica e morale di venire incontro alle rivendicazioni nazionali arabe della Palestina. A questo scopo essi proposero la formazione di uno stato binazionale in cui la sovranità doveva essere divisa su un piano di parità tra la popolazione ebraica </w:t>
      </w:r>
      <w:r w:rsidR="007815EE" w:rsidRPr="00382A0C">
        <w:rPr>
          <w:rFonts w:asciiTheme="minorHAnsi" w:hAnsiTheme="minorHAnsi" w:cstheme="minorHAnsi"/>
          <w:sz w:val="36"/>
          <w:szCs w:val="36"/>
        </w:rPr>
        <w:t>e quella</w:t>
      </w:r>
      <w:r w:rsidR="0036684D" w:rsidRPr="00382A0C">
        <w:rPr>
          <w:rFonts w:asciiTheme="minorHAnsi" w:hAnsiTheme="minorHAnsi" w:cstheme="minorHAnsi"/>
          <w:sz w:val="36"/>
          <w:szCs w:val="36"/>
        </w:rPr>
        <w:t xml:space="preserve"> araba. Il più noto propugnatore di questa linea fu Martin Buber. Il filosofo del dialogo era ben coscio che le relazioni </w:t>
      </w:r>
      <w:r w:rsidR="0036684D" w:rsidRPr="00382A0C">
        <w:rPr>
          <w:rFonts w:asciiTheme="minorHAnsi" w:hAnsiTheme="minorHAnsi" w:cstheme="minorHAnsi"/>
          <w:sz w:val="36"/>
          <w:szCs w:val="36"/>
        </w:rPr>
        <w:lastRenderedPageBreak/>
        <w:t>tra le realtà collettive sono molto più complesse di quelle tra gli individui, ciò però non esonera dall’impegno per far sì che anche le comunità cerchino di vivere non solo l’una accanto all’altra, ma anche e soprattutto l’una insieme all’altra (</w:t>
      </w:r>
      <w:proofErr w:type="spellStart"/>
      <w:r w:rsidR="0036684D" w:rsidRPr="00382A0C">
        <w:rPr>
          <w:rFonts w:asciiTheme="minorHAnsi" w:hAnsiTheme="minorHAnsi" w:cstheme="minorHAnsi"/>
          <w:i/>
          <w:iCs/>
          <w:sz w:val="36"/>
          <w:szCs w:val="36"/>
        </w:rPr>
        <w:t>miteinander</w:t>
      </w:r>
      <w:proofErr w:type="spellEnd"/>
      <w:r w:rsidR="0036684D" w:rsidRPr="00382A0C">
        <w:rPr>
          <w:rFonts w:asciiTheme="minorHAnsi" w:hAnsiTheme="minorHAnsi" w:cstheme="minorHAnsi"/>
          <w:sz w:val="36"/>
          <w:szCs w:val="36"/>
        </w:rPr>
        <w:t>).</w:t>
      </w:r>
    </w:p>
    <w:p w14:paraId="023F86F3" w14:textId="77777777" w:rsidR="0036684D" w:rsidRPr="00382A0C"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In questo spirito è particolarmente significativo un articolo, intitolato </w:t>
      </w:r>
      <w:r w:rsidRPr="00382A0C">
        <w:rPr>
          <w:rFonts w:asciiTheme="minorHAnsi" w:hAnsiTheme="minorHAnsi" w:cstheme="minorHAnsi"/>
          <w:i/>
          <w:iCs/>
          <w:sz w:val="36"/>
          <w:szCs w:val="36"/>
        </w:rPr>
        <w:t>Due tipi di sionismo</w:t>
      </w:r>
      <w:r w:rsidRPr="00382A0C">
        <w:rPr>
          <w:rFonts w:asciiTheme="minorHAnsi" w:hAnsiTheme="minorHAnsi" w:cstheme="minorHAnsi"/>
          <w:sz w:val="36"/>
          <w:szCs w:val="36"/>
        </w:rPr>
        <w:t>,</w:t>
      </w:r>
      <w:r w:rsidRPr="00382A0C">
        <w:rPr>
          <w:rFonts w:asciiTheme="minorHAnsi" w:hAnsiTheme="minorHAnsi" w:cstheme="minorHAnsi"/>
          <w:i/>
          <w:iCs/>
          <w:sz w:val="36"/>
          <w:szCs w:val="36"/>
        </w:rPr>
        <w:t xml:space="preserve"> </w:t>
      </w:r>
      <w:r w:rsidRPr="00382A0C">
        <w:rPr>
          <w:rFonts w:asciiTheme="minorHAnsi" w:hAnsiTheme="minorHAnsi" w:cstheme="minorHAnsi"/>
          <w:sz w:val="36"/>
          <w:szCs w:val="36"/>
        </w:rPr>
        <w:t>pubblicato da Buber appena due settimane dopo la proclamazione dell’indipendenza nel maggio 1948. In esso si afferma che, fin dall’origine del movimento sionista, si possono individuare due diverse tendenze le quali esprimono due diverse interpretazioni del concetto di rinascita. L’una lo comprese come il risorgere di un autentico Israele nel quale, diversamente da quanto avveniva nell’esilio, «spirito e vita non rimanessero semplicemente l’uno accanto all’altro […] ma lo spirito edificasse la vita come la propria casa, come la propria stessa carne. Con rinascita non si intende qui soltanto una sicura sussistenza del popolo in luogo di quella finora incerta, ma un’esistenza della realizzazione invece di quella avuta finora, in cui idee prive di realizzazione e realtà senza idee stanno le une separate dalle altre». L’altra tendenza interpretò la rinascita come una normalizzazione; «ad un popolo “normale” appartengono la terra, la lingua e l’indipendenza; queste devono essere recuperate e non abbiamo bisogno di occuparci di null’altro, l’altro verrà da sé».</w:t>
      </w:r>
    </w:p>
    <w:p w14:paraId="5A28C84E" w14:textId="1013AB55" w:rsidR="0036684D" w:rsidRPr="00382A0C"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Questi due tipi di sionismo non sono altro che una nuova forma di due tendenze opposte presenti già nell’antico Israele: una aveva una forte coscienza della missione di realizzare verità e giustizia verso l’esterno e verso l’interno, diventando con ciò modello e guida dell’umanità»; l’altra invece auspicava che gli ebrei giungessero a essere «come tutti gli altri popoli». Se prevalesse quest’ultima opzione si andrebbe incontro ad un’«assimilazione nazionale», molto più pericolosa di quella </w:t>
      </w:r>
      <w:r w:rsidRPr="00382A0C">
        <w:rPr>
          <w:rFonts w:asciiTheme="minorHAnsi" w:hAnsiTheme="minorHAnsi" w:cstheme="minorHAnsi"/>
          <w:sz w:val="36"/>
          <w:szCs w:val="36"/>
        </w:rPr>
        <w:lastRenderedPageBreak/>
        <w:t xml:space="preserve">individuale, quest’ultima infatti compromette solo persone o famiglie, mentre l’altra, a detta di Buber, manda in rovina il nucleo essenziale di Israele. A differenza di quanto avvenne all’epoca di Giosuè, non bisogna arrivare alla terra da conquistatori, in quanto la forma di vita spirituale del popolo non è affatto minacciata come lo era in quel remoto passato dalle popolazioni cananee. Oggi si è chiamati a stringere alleanze con la popolazione residente per sviluppare </w:t>
      </w:r>
      <w:r w:rsidR="00356675" w:rsidRPr="00382A0C">
        <w:rPr>
          <w:rFonts w:asciiTheme="minorHAnsi" w:hAnsiTheme="minorHAnsi" w:cstheme="minorHAnsi"/>
          <w:sz w:val="36"/>
          <w:szCs w:val="36"/>
        </w:rPr>
        <w:t>insieme la</w:t>
      </w:r>
      <w:r w:rsidRPr="00382A0C">
        <w:rPr>
          <w:rFonts w:asciiTheme="minorHAnsi" w:hAnsiTheme="minorHAnsi" w:cstheme="minorHAnsi"/>
          <w:sz w:val="36"/>
          <w:szCs w:val="36"/>
        </w:rPr>
        <w:t xml:space="preserve"> terra come modello del Vicino Oriente: «due popoli autonomi con uguali diritti, ognuno sovrano sulla propria società e cultura, ma entrambi uniti in un’opera comune di accesso e produzione nei confronti della patria comune». </w:t>
      </w:r>
    </w:p>
    <w:p w14:paraId="699942BC" w14:textId="3AE78823" w:rsidR="0036684D"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Con la dichiarazione unilaterale di indipendenza si è sacrificata l’unità della terra che doveva essere redenta dal sionismo, il concetto di «autodeterminazione» è stato sostituito da quello di «sovranità» e la parola pace con la parola lotta: «Quando 50 anni fa aderii al movimento sionista a favore della rinascita d’Israele, lo feci con cuore unito e convinto. Oggi c’è una spaccatura nel mio cuore. Una guerra condotta per una struttura politica rischia sempre di diventare una guerra per l’esistenza nazionale. Ad essa non posso che partecipare con la mia propria esistenza, e il mio cuore batte oggi come quello di ogni ebreo. Ma anche di fronte a una vittoria non posso </w:t>
      </w:r>
      <w:r w:rsidR="00356675" w:rsidRPr="00382A0C">
        <w:rPr>
          <w:rFonts w:asciiTheme="minorHAnsi" w:hAnsiTheme="minorHAnsi" w:cstheme="minorHAnsi"/>
          <w:sz w:val="36"/>
          <w:szCs w:val="36"/>
        </w:rPr>
        <w:t>rallegrarmi perché</w:t>
      </w:r>
      <w:r w:rsidRPr="00382A0C">
        <w:rPr>
          <w:rFonts w:asciiTheme="minorHAnsi" w:hAnsiTheme="minorHAnsi" w:cstheme="minorHAnsi"/>
          <w:sz w:val="36"/>
          <w:szCs w:val="36"/>
        </w:rPr>
        <w:t xml:space="preserve"> temo che una vittoria degli ebrei significhi una sconfitta del sionismo».</w:t>
      </w:r>
      <w:r w:rsidR="008C1B55">
        <w:rPr>
          <w:rStyle w:val="Rimandonotaapidipagina"/>
          <w:rFonts w:asciiTheme="minorHAnsi" w:hAnsiTheme="minorHAnsi" w:cstheme="minorHAnsi"/>
          <w:sz w:val="36"/>
          <w:szCs w:val="36"/>
        </w:rPr>
        <w:footnoteReference w:id="11"/>
      </w:r>
    </w:p>
    <w:p w14:paraId="7662E84D" w14:textId="77777777" w:rsidR="00356675" w:rsidRPr="00382A0C" w:rsidRDefault="00356675" w:rsidP="00827117">
      <w:pPr>
        <w:ind w:firstLine="170"/>
        <w:jc w:val="both"/>
        <w:rPr>
          <w:rFonts w:asciiTheme="minorHAnsi" w:hAnsiTheme="minorHAnsi" w:cstheme="minorHAnsi"/>
          <w:sz w:val="36"/>
          <w:szCs w:val="36"/>
          <w:vertAlign w:val="superscript"/>
        </w:rPr>
      </w:pPr>
    </w:p>
    <w:p w14:paraId="37A21471" w14:textId="2E041DE3" w:rsidR="0036684D" w:rsidRPr="00382A0C" w:rsidRDefault="00C6658C" w:rsidP="00827117">
      <w:pPr>
        <w:ind w:firstLine="170"/>
        <w:jc w:val="both"/>
        <w:rPr>
          <w:rFonts w:asciiTheme="minorHAnsi" w:hAnsiTheme="minorHAnsi" w:cstheme="minorHAnsi"/>
          <w:sz w:val="36"/>
          <w:szCs w:val="36"/>
          <w:vertAlign w:val="superscript"/>
        </w:rPr>
      </w:pPr>
      <w:r>
        <w:rPr>
          <w:rFonts w:asciiTheme="minorHAnsi" w:hAnsiTheme="minorHAnsi" w:cstheme="minorHAnsi"/>
          <w:b/>
          <w:bCs/>
          <w:color w:val="C45911" w:themeColor="accent2" w:themeShade="BF"/>
          <w:sz w:val="36"/>
          <w:szCs w:val="36"/>
        </w:rPr>
        <w:t>6</w:t>
      </w:r>
      <w:r w:rsidR="006C66ED" w:rsidRPr="00077093">
        <w:rPr>
          <w:rFonts w:asciiTheme="minorHAnsi" w:hAnsiTheme="minorHAnsi" w:cstheme="minorHAnsi"/>
          <w:b/>
          <w:bCs/>
          <w:color w:val="C45911" w:themeColor="accent2" w:themeShade="BF"/>
          <w:sz w:val="36"/>
          <w:szCs w:val="36"/>
        </w:rPr>
        <w:t>.</w:t>
      </w:r>
      <w:r w:rsidR="00077093" w:rsidRPr="00077093">
        <w:rPr>
          <w:rFonts w:asciiTheme="minorHAnsi" w:hAnsiTheme="minorHAnsi" w:cstheme="minorHAnsi"/>
          <w:b/>
          <w:bCs/>
          <w:color w:val="C45911" w:themeColor="accent2" w:themeShade="BF"/>
          <w:sz w:val="36"/>
          <w:szCs w:val="36"/>
        </w:rPr>
        <w:t>2</w:t>
      </w:r>
      <w:r w:rsidR="006C66ED" w:rsidRPr="00077093">
        <w:rPr>
          <w:rFonts w:asciiTheme="minorHAnsi" w:hAnsiTheme="minorHAnsi" w:cstheme="minorHAnsi"/>
          <w:b/>
          <w:bCs/>
          <w:color w:val="C45911" w:themeColor="accent2" w:themeShade="BF"/>
          <w:sz w:val="36"/>
          <w:szCs w:val="36"/>
        </w:rPr>
        <w:t xml:space="preserve"> Il sionismo di Rav </w:t>
      </w:r>
      <w:proofErr w:type="spellStart"/>
      <w:r w:rsidR="006C66ED" w:rsidRPr="00077093">
        <w:rPr>
          <w:rFonts w:asciiTheme="minorHAnsi" w:hAnsiTheme="minorHAnsi" w:cstheme="minorHAnsi"/>
          <w:b/>
          <w:bCs/>
          <w:color w:val="C45911" w:themeColor="accent2" w:themeShade="BF"/>
          <w:sz w:val="36"/>
          <w:szCs w:val="36"/>
        </w:rPr>
        <w:t>Kook</w:t>
      </w:r>
      <w:proofErr w:type="spellEnd"/>
      <w:r w:rsidR="006C66ED">
        <w:rPr>
          <w:rFonts w:asciiTheme="minorHAnsi" w:hAnsiTheme="minorHAnsi" w:cstheme="minorHAnsi"/>
          <w:sz w:val="36"/>
          <w:szCs w:val="36"/>
        </w:rPr>
        <w:t xml:space="preserve">. </w:t>
      </w:r>
      <w:r w:rsidR="0036684D" w:rsidRPr="00382A0C">
        <w:rPr>
          <w:rFonts w:asciiTheme="minorHAnsi" w:hAnsiTheme="minorHAnsi" w:cstheme="minorHAnsi"/>
          <w:sz w:val="36"/>
          <w:szCs w:val="36"/>
        </w:rPr>
        <w:t xml:space="preserve">Nel 1950 Martin Buber pubblicò in tedesco un’opera intitolata </w:t>
      </w:r>
      <w:r w:rsidR="0036684D" w:rsidRPr="00382A0C">
        <w:rPr>
          <w:rFonts w:asciiTheme="minorHAnsi" w:hAnsiTheme="minorHAnsi" w:cstheme="minorHAnsi"/>
          <w:i/>
          <w:iCs/>
          <w:sz w:val="36"/>
          <w:szCs w:val="36"/>
        </w:rPr>
        <w:t>Israele e Palestina. Per una storia di un’idea</w:t>
      </w:r>
      <w:r w:rsidR="0036684D" w:rsidRPr="00382A0C">
        <w:rPr>
          <w:rFonts w:asciiTheme="minorHAnsi" w:hAnsiTheme="minorHAnsi" w:cstheme="minorHAnsi"/>
          <w:sz w:val="36"/>
          <w:szCs w:val="36"/>
        </w:rPr>
        <w:t xml:space="preserve">. Nella prefazione l’autore precisa di non aver ritenuto </w:t>
      </w:r>
      <w:r w:rsidR="0036684D" w:rsidRPr="00382A0C">
        <w:rPr>
          <w:rFonts w:asciiTheme="minorHAnsi" w:hAnsiTheme="minorHAnsi" w:cstheme="minorHAnsi"/>
          <w:sz w:val="36"/>
          <w:szCs w:val="36"/>
        </w:rPr>
        <w:lastRenderedPageBreak/>
        <w:t xml:space="preserve">necessario cambiare niente dell’edizione originaria in ebraico apparsa nel 1944. In altre parole, la nascita dello Stato d’Israele non ha mutato nulla nell’impulso ideale del suo sionismo. In questo libro, esteso dalla Bibbia al Novecento, Buber esprime la propria ammirazione per Rav Avraham </w:t>
      </w:r>
      <w:proofErr w:type="spellStart"/>
      <w:r w:rsidR="0036684D" w:rsidRPr="00382A0C">
        <w:rPr>
          <w:rFonts w:asciiTheme="minorHAnsi" w:hAnsiTheme="minorHAnsi" w:cstheme="minorHAnsi"/>
          <w:sz w:val="36"/>
          <w:szCs w:val="36"/>
        </w:rPr>
        <w:t>Yizchaq</w:t>
      </w:r>
      <w:proofErr w:type="spellEnd"/>
      <w:r w:rsidR="0036684D" w:rsidRPr="00382A0C">
        <w:rPr>
          <w:rFonts w:asciiTheme="minorHAnsi" w:hAnsiTheme="minorHAnsi" w:cstheme="minorHAnsi"/>
          <w:sz w:val="36"/>
          <w:szCs w:val="36"/>
        </w:rPr>
        <w:t xml:space="preserve"> </w:t>
      </w:r>
      <w:proofErr w:type="spellStart"/>
      <w:r w:rsidR="0036684D" w:rsidRPr="00382A0C">
        <w:rPr>
          <w:rFonts w:asciiTheme="minorHAnsi" w:hAnsiTheme="minorHAnsi" w:cstheme="minorHAnsi"/>
          <w:sz w:val="36"/>
          <w:szCs w:val="36"/>
        </w:rPr>
        <w:t>Kook</w:t>
      </w:r>
      <w:proofErr w:type="spellEnd"/>
      <w:r w:rsidR="0036684D" w:rsidRPr="00382A0C">
        <w:rPr>
          <w:rFonts w:asciiTheme="minorHAnsi" w:hAnsiTheme="minorHAnsi" w:cstheme="minorHAnsi"/>
          <w:sz w:val="36"/>
          <w:szCs w:val="36"/>
        </w:rPr>
        <w:t xml:space="preserve"> (1865-1935), la grande guida spirituale del sionismo religioso della Palestina mandataria. Si tratta di una figura ancora non sufficientemente nota in Italia, ma che gode di grande interesse in Israele dove, in epoca recente, le sono state dedicate decine di libri e centinaia di articoli. Fin dalla giovinezza il pensiero di Rav </w:t>
      </w:r>
      <w:proofErr w:type="spellStart"/>
      <w:r w:rsidR="0036684D" w:rsidRPr="00382A0C">
        <w:rPr>
          <w:rFonts w:asciiTheme="minorHAnsi" w:hAnsiTheme="minorHAnsi" w:cstheme="minorHAnsi"/>
          <w:sz w:val="36"/>
          <w:szCs w:val="36"/>
        </w:rPr>
        <w:t>Kook</w:t>
      </w:r>
      <w:proofErr w:type="spellEnd"/>
      <w:r w:rsidR="0036684D" w:rsidRPr="00382A0C">
        <w:rPr>
          <w:rFonts w:asciiTheme="minorHAnsi" w:hAnsiTheme="minorHAnsi" w:cstheme="minorHAnsi"/>
          <w:sz w:val="36"/>
          <w:szCs w:val="36"/>
        </w:rPr>
        <w:t xml:space="preserve"> fu caratterizzato da un approccio attivistico alla questione messianica e da una concezione utopica del sionismo. Egli si rifà a un filone che collega la rinascita spirituale del popolo alla terra. Secondo le sue parole: «ci è stato tramandato che vi sarà un risveglio spirituale nella Terra di Israele e in Israele stesso nel momento in cui comincerà l’alba della rinascita nazionale».</w:t>
      </w:r>
    </w:p>
    <w:p w14:paraId="5FF70D56" w14:textId="77777777" w:rsidR="0036684D" w:rsidRPr="00382A0C" w:rsidRDefault="0036684D" w:rsidP="00827117">
      <w:pPr>
        <w:ind w:firstLine="170"/>
        <w:jc w:val="both"/>
        <w:rPr>
          <w:rFonts w:asciiTheme="minorHAnsi" w:hAnsiTheme="minorHAnsi" w:cstheme="minorHAnsi"/>
          <w:sz w:val="36"/>
          <w:szCs w:val="36"/>
          <w:vertAlign w:val="superscript"/>
        </w:rPr>
      </w:pPr>
      <w:r w:rsidRPr="00382A0C">
        <w:rPr>
          <w:rFonts w:asciiTheme="minorHAnsi" w:hAnsiTheme="minorHAnsi" w:cstheme="minorHAnsi"/>
          <w:sz w:val="36"/>
          <w:szCs w:val="36"/>
        </w:rPr>
        <w:t xml:space="preserve">In effetti, l’apporto storicamente più rilevante di Rav </w:t>
      </w:r>
      <w:proofErr w:type="spellStart"/>
      <w:r w:rsidRPr="00382A0C">
        <w:rPr>
          <w:rFonts w:asciiTheme="minorHAnsi" w:hAnsiTheme="minorHAnsi" w:cstheme="minorHAnsi"/>
          <w:sz w:val="36"/>
          <w:szCs w:val="36"/>
        </w:rPr>
        <w:t>Kook</w:t>
      </w:r>
      <w:proofErr w:type="spellEnd"/>
      <w:r w:rsidRPr="00382A0C">
        <w:rPr>
          <w:rFonts w:asciiTheme="minorHAnsi" w:hAnsiTheme="minorHAnsi" w:cstheme="minorHAnsi"/>
          <w:sz w:val="36"/>
          <w:szCs w:val="36"/>
        </w:rPr>
        <w:t xml:space="preserve"> è stato quello di aver messo in luce la possibilità di ricondurre dentro un piano spirituale messianico pure l’opera del sionismo laico la quale, allora, costituiva il nerbo del movimento: «i mattoni per la costruzione possono portarli anche coloro che non penetrano nella profondità del “mistero dei giusti” (cioè nel significato religioso della loro costruzione), e non solo possono portare i mattoni, ma sono in grado di essere loro  direttori dei lavori, quando però verrà il tempo della rivelazione del “mistero dei giusti”, allora la cosa diverrà chiara». </w:t>
      </w:r>
    </w:p>
    <w:p w14:paraId="23C797BA" w14:textId="2097DD22" w:rsidR="0036684D" w:rsidRPr="00382A0C"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L’ebreo della diaspora, anche se osserva pienamente la Tor</w:t>
      </w:r>
      <w:r w:rsidR="00C0694D">
        <w:rPr>
          <w:rFonts w:asciiTheme="minorHAnsi" w:hAnsiTheme="minorHAnsi" w:cstheme="minorHAnsi"/>
          <w:sz w:val="36"/>
          <w:szCs w:val="36"/>
        </w:rPr>
        <w:t>a</w:t>
      </w:r>
      <w:r w:rsidRPr="00382A0C">
        <w:rPr>
          <w:rFonts w:asciiTheme="minorHAnsi" w:hAnsiTheme="minorHAnsi" w:cstheme="minorHAnsi"/>
          <w:sz w:val="36"/>
          <w:szCs w:val="36"/>
        </w:rPr>
        <w:t xml:space="preserve">h, resta privo di qualcosa; per il fatto stesso di vivere fuori dalla Terra d’Israele manca infatti di un aspetto determinante della sua ebraicità. Chiunque rinuncia all’idea di ritorno a Sion abdica alla propria fede nell’identità degli </w:t>
      </w:r>
      <w:r w:rsidRPr="00382A0C">
        <w:rPr>
          <w:rFonts w:asciiTheme="minorHAnsi" w:hAnsiTheme="minorHAnsi" w:cstheme="minorHAnsi"/>
          <w:sz w:val="36"/>
          <w:szCs w:val="36"/>
        </w:rPr>
        <w:lastRenderedPageBreak/>
        <w:t xml:space="preserve">ebrei come nazione. Molti di coloro che aderiscono all’attuale rinascita nazionale ritengono di essere laici; tuttavia per Rav </w:t>
      </w:r>
      <w:proofErr w:type="spellStart"/>
      <w:r w:rsidRPr="00382A0C">
        <w:rPr>
          <w:rFonts w:asciiTheme="minorHAnsi" w:hAnsiTheme="minorHAnsi" w:cstheme="minorHAnsi"/>
          <w:sz w:val="36"/>
          <w:szCs w:val="36"/>
        </w:rPr>
        <w:t>Kook</w:t>
      </w:r>
      <w:proofErr w:type="spellEnd"/>
      <w:r w:rsidRPr="00382A0C">
        <w:rPr>
          <w:rFonts w:asciiTheme="minorHAnsi" w:hAnsiTheme="minorHAnsi" w:cstheme="minorHAnsi"/>
          <w:sz w:val="36"/>
          <w:szCs w:val="36"/>
        </w:rPr>
        <w:t xml:space="preserve"> un nazionalismo ebraico totalmente laico è semplicemente inimmaginabile, se esso fosse realmente possibile bisognerebbe infatti disperare della salvezza. Di contro, la santità della Terra costringerà anche i laici a diventar consapevoli di essere immersi e radicati nella vita di Dio.</w:t>
      </w:r>
    </w:p>
    <w:p w14:paraId="3B147B3C" w14:textId="403E371A" w:rsidR="0036684D" w:rsidRPr="00382A0C" w:rsidRDefault="0036684D" w:rsidP="00C0694D">
      <w:pPr>
        <w:pStyle w:val="Rientrocorpodeltesto"/>
        <w:ind w:left="0" w:firstLine="283"/>
        <w:jc w:val="both"/>
        <w:rPr>
          <w:rFonts w:asciiTheme="minorHAnsi" w:hAnsiTheme="minorHAnsi" w:cstheme="minorHAnsi"/>
          <w:sz w:val="36"/>
          <w:szCs w:val="36"/>
        </w:rPr>
      </w:pPr>
      <w:r w:rsidRPr="00382A0C">
        <w:rPr>
          <w:rFonts w:asciiTheme="minorHAnsi" w:hAnsiTheme="minorHAnsi" w:cstheme="minorHAnsi"/>
          <w:sz w:val="36"/>
          <w:szCs w:val="36"/>
        </w:rPr>
        <w:t xml:space="preserve">Quanto caratterizza in maniera particolare la posizione di questo pensatore sionista è il suo respiro universale e le sue forti riserve nei confronti della costruzione dello stato ebraico. Per Rav </w:t>
      </w:r>
      <w:proofErr w:type="spellStart"/>
      <w:r w:rsidRPr="00382A0C">
        <w:rPr>
          <w:rFonts w:asciiTheme="minorHAnsi" w:hAnsiTheme="minorHAnsi" w:cstheme="minorHAnsi"/>
          <w:sz w:val="36"/>
          <w:szCs w:val="36"/>
        </w:rPr>
        <w:t>Kook</w:t>
      </w:r>
      <w:proofErr w:type="spellEnd"/>
      <w:r w:rsidRPr="00382A0C">
        <w:rPr>
          <w:rFonts w:asciiTheme="minorHAnsi" w:hAnsiTheme="minorHAnsi" w:cstheme="minorHAnsi"/>
          <w:sz w:val="36"/>
          <w:szCs w:val="36"/>
        </w:rPr>
        <w:t xml:space="preserve"> la redenzione di Israele fa parte di un processo che abbraccia il mondo intero; la rinascita dello spirito ebraico rinnoverà tutte le altre nazioni e diverrà allora pienamente manifesta la benedizione di tutti i popoli in Abramo. Questa rinascita non potrà però assumere la «forma stato». L’accordo da lui prospettato a proposito dell’inserimento dei pionieri laici nel quadro della rinascita nazionale, stenta a riproporsi nel caso dello Stato, il quale, stabilito in un mondo non </w:t>
      </w:r>
      <w:r w:rsidR="00F73409" w:rsidRPr="00382A0C">
        <w:rPr>
          <w:rFonts w:asciiTheme="minorHAnsi" w:hAnsiTheme="minorHAnsi" w:cstheme="minorHAnsi"/>
          <w:sz w:val="36"/>
          <w:szCs w:val="36"/>
        </w:rPr>
        <w:t>redento, sarebbe</w:t>
      </w:r>
      <w:r w:rsidRPr="00382A0C">
        <w:rPr>
          <w:rFonts w:asciiTheme="minorHAnsi" w:hAnsiTheme="minorHAnsi" w:cstheme="minorHAnsi"/>
          <w:sz w:val="36"/>
          <w:szCs w:val="36"/>
        </w:rPr>
        <w:t xml:space="preserve"> costretto a ricorrere in modo sistematico alla forza. Esso perciò non potrebbe diventare uno Stato di giustizia e di diritto e non sarebbe perciò uno strumento della redenzione.</w:t>
      </w:r>
    </w:p>
    <w:p w14:paraId="75F26F73" w14:textId="3E4F4627" w:rsidR="00F73409" w:rsidRDefault="00C6658C" w:rsidP="00827117">
      <w:pPr>
        <w:ind w:firstLine="170"/>
        <w:jc w:val="both"/>
        <w:rPr>
          <w:rFonts w:asciiTheme="minorHAnsi" w:hAnsiTheme="minorHAnsi" w:cstheme="minorHAnsi"/>
          <w:sz w:val="36"/>
          <w:szCs w:val="36"/>
        </w:rPr>
      </w:pPr>
      <w:r>
        <w:rPr>
          <w:rFonts w:asciiTheme="minorHAnsi" w:hAnsiTheme="minorHAnsi" w:cstheme="minorHAnsi"/>
          <w:b/>
          <w:bCs/>
          <w:color w:val="C45911" w:themeColor="accent2" w:themeShade="BF"/>
          <w:sz w:val="36"/>
          <w:szCs w:val="36"/>
        </w:rPr>
        <w:t>6</w:t>
      </w:r>
      <w:r w:rsidR="006C66ED" w:rsidRPr="006C66ED">
        <w:rPr>
          <w:rFonts w:asciiTheme="minorHAnsi" w:hAnsiTheme="minorHAnsi" w:cstheme="minorHAnsi"/>
          <w:b/>
          <w:bCs/>
          <w:color w:val="C45911" w:themeColor="accent2" w:themeShade="BF"/>
          <w:sz w:val="36"/>
          <w:szCs w:val="36"/>
        </w:rPr>
        <w:t>.</w:t>
      </w:r>
      <w:r w:rsidR="00077093">
        <w:rPr>
          <w:rFonts w:asciiTheme="minorHAnsi" w:hAnsiTheme="minorHAnsi" w:cstheme="minorHAnsi"/>
          <w:b/>
          <w:bCs/>
          <w:color w:val="C45911" w:themeColor="accent2" w:themeShade="BF"/>
          <w:sz w:val="36"/>
          <w:szCs w:val="36"/>
        </w:rPr>
        <w:t>3</w:t>
      </w:r>
      <w:r w:rsidR="006C66ED" w:rsidRPr="006C66ED">
        <w:rPr>
          <w:rFonts w:asciiTheme="minorHAnsi" w:hAnsiTheme="minorHAnsi" w:cstheme="minorHAnsi"/>
          <w:b/>
          <w:bCs/>
          <w:color w:val="C45911" w:themeColor="accent2" w:themeShade="BF"/>
          <w:sz w:val="36"/>
          <w:szCs w:val="36"/>
        </w:rPr>
        <w:t xml:space="preserve"> Il sionismo nazionalista</w:t>
      </w:r>
      <w:r w:rsidR="006C66ED">
        <w:rPr>
          <w:rFonts w:asciiTheme="minorHAnsi" w:hAnsiTheme="minorHAnsi" w:cstheme="minorHAnsi"/>
          <w:sz w:val="36"/>
          <w:szCs w:val="36"/>
        </w:rPr>
        <w:t xml:space="preserve">. </w:t>
      </w:r>
      <w:r w:rsidR="0036684D" w:rsidRPr="00382A0C">
        <w:rPr>
          <w:rFonts w:asciiTheme="minorHAnsi" w:hAnsiTheme="minorHAnsi" w:cstheme="minorHAnsi"/>
          <w:sz w:val="36"/>
          <w:szCs w:val="36"/>
        </w:rPr>
        <w:t xml:space="preserve">Mentre </w:t>
      </w:r>
      <w:proofErr w:type="spellStart"/>
      <w:r w:rsidR="0036684D" w:rsidRPr="00382A0C">
        <w:rPr>
          <w:rFonts w:asciiTheme="minorHAnsi" w:hAnsiTheme="minorHAnsi" w:cstheme="minorHAnsi"/>
          <w:sz w:val="36"/>
          <w:szCs w:val="36"/>
        </w:rPr>
        <w:t>Kook</w:t>
      </w:r>
      <w:proofErr w:type="spellEnd"/>
      <w:r w:rsidR="0036684D" w:rsidRPr="00382A0C">
        <w:rPr>
          <w:rFonts w:asciiTheme="minorHAnsi" w:hAnsiTheme="minorHAnsi" w:cstheme="minorHAnsi"/>
          <w:sz w:val="36"/>
          <w:szCs w:val="36"/>
        </w:rPr>
        <w:t xml:space="preserve"> elaborava il suo pensiero utopico, nella Palestina mandataria si stava però consolidando soprattutto l’«altro» sionismo.  Sulla scorta di analoghe operazioni ben note </w:t>
      </w:r>
      <w:r w:rsidR="00F73409" w:rsidRPr="00382A0C">
        <w:rPr>
          <w:rFonts w:asciiTheme="minorHAnsi" w:hAnsiTheme="minorHAnsi" w:cstheme="minorHAnsi"/>
          <w:sz w:val="36"/>
          <w:szCs w:val="36"/>
        </w:rPr>
        <w:t>all’Europa, esso</w:t>
      </w:r>
      <w:r w:rsidR="0036684D" w:rsidRPr="00382A0C">
        <w:rPr>
          <w:rFonts w:asciiTheme="minorHAnsi" w:hAnsiTheme="minorHAnsi" w:cstheme="minorHAnsi"/>
          <w:sz w:val="36"/>
          <w:szCs w:val="36"/>
        </w:rPr>
        <w:t xml:space="preserve"> andava alla ricerca di miti capaci </w:t>
      </w:r>
      <w:r w:rsidR="00F73409" w:rsidRPr="00382A0C">
        <w:rPr>
          <w:rFonts w:asciiTheme="minorHAnsi" w:hAnsiTheme="minorHAnsi" w:cstheme="minorHAnsi"/>
          <w:sz w:val="36"/>
          <w:szCs w:val="36"/>
        </w:rPr>
        <w:t>di nazionalizzare</w:t>
      </w:r>
      <w:r w:rsidR="0036684D" w:rsidRPr="00382A0C">
        <w:rPr>
          <w:rFonts w:asciiTheme="minorHAnsi" w:hAnsiTheme="minorHAnsi" w:cstheme="minorHAnsi"/>
          <w:sz w:val="36"/>
          <w:szCs w:val="36"/>
        </w:rPr>
        <w:t xml:space="preserve"> l’intera storia ebraica. Bisognava dar corpo a una serie di principi di cui il sionismo aveva assoluto bisogno. I principali tra essi sono i seguenti: </w:t>
      </w:r>
    </w:p>
    <w:p w14:paraId="5830DC77" w14:textId="77777777" w:rsidR="00F73409"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il popolo ebraico si è mantenuto nel corso di duemila anni come un’unica entità organica;</w:t>
      </w:r>
    </w:p>
    <w:p w14:paraId="7C1F635B" w14:textId="77777777" w:rsidR="00F73409"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 le comunità della diaspora hanno sempre intrattenuto fra loro forti relazioni; </w:t>
      </w:r>
    </w:p>
    <w:p w14:paraId="5B574CCA" w14:textId="439AD65B" w:rsidR="00F73409"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lastRenderedPageBreak/>
        <w:t xml:space="preserve">la Terra d’Israele è stata il costante centro del popolo e ha costituito, anche nella dispersione, l’asse unificante </w:t>
      </w:r>
      <w:r w:rsidR="00F73409" w:rsidRPr="00382A0C">
        <w:rPr>
          <w:rFonts w:asciiTheme="minorHAnsi" w:hAnsiTheme="minorHAnsi" w:cstheme="minorHAnsi"/>
          <w:sz w:val="36"/>
          <w:szCs w:val="36"/>
        </w:rPr>
        <w:t>dell’identità ebraica</w:t>
      </w:r>
      <w:r w:rsidRPr="00382A0C">
        <w:rPr>
          <w:rFonts w:asciiTheme="minorHAnsi" w:hAnsiTheme="minorHAnsi" w:cstheme="minorHAnsi"/>
          <w:sz w:val="36"/>
          <w:szCs w:val="36"/>
        </w:rPr>
        <w:t xml:space="preserve">; </w:t>
      </w:r>
    </w:p>
    <w:p w14:paraId="7075DED8" w14:textId="77777777" w:rsidR="00F73409"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in Terra d’Israele la presenza ebraica è sempre stata ininterrotta e il piccolo stanziamento là residente è stato il centro di gravità dell’intero popolo; </w:t>
      </w:r>
    </w:p>
    <w:p w14:paraId="2A014C7E" w14:textId="77777777" w:rsidR="00F73409"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la nazione ebraica ha sempre lottato per la propria rinascita e per la sovranità politica del suo paese; </w:t>
      </w:r>
    </w:p>
    <w:p w14:paraId="1BC87D46" w14:textId="4C075C51" w:rsidR="0036684D" w:rsidRPr="00382A0C"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il sionismo moderno risulta perciò lo sbocco naturale </w:t>
      </w:r>
      <w:r w:rsidR="00F73409" w:rsidRPr="00382A0C">
        <w:rPr>
          <w:rFonts w:asciiTheme="minorHAnsi" w:hAnsiTheme="minorHAnsi" w:cstheme="minorHAnsi"/>
          <w:sz w:val="36"/>
          <w:szCs w:val="36"/>
        </w:rPr>
        <w:t>dell’intera storia</w:t>
      </w:r>
      <w:r w:rsidRPr="00382A0C">
        <w:rPr>
          <w:rFonts w:asciiTheme="minorHAnsi" w:hAnsiTheme="minorHAnsi" w:cstheme="minorHAnsi"/>
          <w:sz w:val="36"/>
          <w:szCs w:val="36"/>
        </w:rPr>
        <w:t xml:space="preserve"> ebraica.</w:t>
      </w:r>
    </w:p>
    <w:p w14:paraId="757A9D0D" w14:textId="19D2E096" w:rsidR="0036684D" w:rsidRPr="00382A0C" w:rsidRDefault="0036684D" w:rsidP="00827117">
      <w:pPr>
        <w:ind w:firstLine="170"/>
        <w:jc w:val="both"/>
        <w:rPr>
          <w:rFonts w:asciiTheme="minorHAnsi" w:hAnsiTheme="minorHAnsi" w:cstheme="minorHAnsi"/>
          <w:sz w:val="36"/>
          <w:szCs w:val="36"/>
          <w:vertAlign w:val="superscript"/>
        </w:rPr>
      </w:pPr>
      <w:r w:rsidRPr="00382A0C">
        <w:rPr>
          <w:rFonts w:asciiTheme="minorHAnsi" w:hAnsiTheme="minorHAnsi" w:cstheme="minorHAnsi"/>
          <w:sz w:val="36"/>
          <w:szCs w:val="36"/>
        </w:rPr>
        <w:t xml:space="preserve">Per rafforzare queste visioni sono stati proposti vari miti storici. Il primo, in ordine di tempo, fu quello dei Maccabei, simbolo degli ebrei che lottano con la forza per la loro libertà. Lo stesso Theodor Herzl termina il suo </w:t>
      </w:r>
      <w:proofErr w:type="spellStart"/>
      <w:r w:rsidRPr="00382A0C">
        <w:rPr>
          <w:rFonts w:asciiTheme="minorHAnsi" w:hAnsiTheme="minorHAnsi" w:cstheme="minorHAnsi"/>
          <w:i/>
          <w:iCs/>
          <w:sz w:val="36"/>
          <w:szCs w:val="36"/>
        </w:rPr>
        <w:t>Der</w:t>
      </w:r>
      <w:proofErr w:type="spellEnd"/>
      <w:r w:rsidRPr="00382A0C">
        <w:rPr>
          <w:rFonts w:asciiTheme="minorHAnsi" w:hAnsiTheme="minorHAnsi" w:cstheme="minorHAnsi"/>
          <w:i/>
          <w:iCs/>
          <w:sz w:val="36"/>
          <w:szCs w:val="36"/>
        </w:rPr>
        <w:t xml:space="preserve"> </w:t>
      </w:r>
      <w:proofErr w:type="spellStart"/>
      <w:r w:rsidRPr="00382A0C">
        <w:rPr>
          <w:rFonts w:asciiTheme="minorHAnsi" w:hAnsiTheme="minorHAnsi" w:cstheme="minorHAnsi"/>
          <w:i/>
          <w:iCs/>
          <w:sz w:val="36"/>
          <w:szCs w:val="36"/>
        </w:rPr>
        <w:t>Judenstaat</w:t>
      </w:r>
      <w:proofErr w:type="spellEnd"/>
      <w:r w:rsidRPr="00382A0C">
        <w:rPr>
          <w:rFonts w:asciiTheme="minorHAnsi" w:hAnsiTheme="minorHAnsi" w:cstheme="minorHAnsi"/>
          <w:i/>
          <w:iCs/>
          <w:sz w:val="36"/>
          <w:szCs w:val="36"/>
        </w:rPr>
        <w:t xml:space="preserve"> </w:t>
      </w:r>
      <w:r w:rsidRPr="00382A0C">
        <w:rPr>
          <w:rFonts w:asciiTheme="minorHAnsi" w:hAnsiTheme="minorHAnsi" w:cstheme="minorHAnsi"/>
          <w:sz w:val="36"/>
          <w:szCs w:val="36"/>
        </w:rPr>
        <w:t xml:space="preserve">con il motto: «I Maccabei stanno per risollevarsi». Seguirono altri riferimenti, il più pervasivo dei quali fu quello dedicato agli eroici difensori della rocca di Masada all’epoca della Prima Guerra Giudaica (evento che nella tradizione religiosa ebraica non ha alcuno spazio); non mancano neppure richiami alla rivolta capitanata da Bar </w:t>
      </w:r>
      <w:proofErr w:type="spellStart"/>
      <w:r w:rsidRPr="00382A0C">
        <w:rPr>
          <w:rFonts w:asciiTheme="minorHAnsi" w:hAnsiTheme="minorHAnsi" w:cstheme="minorHAnsi"/>
          <w:sz w:val="36"/>
          <w:szCs w:val="36"/>
        </w:rPr>
        <w:t>Kokhvà</w:t>
      </w:r>
      <w:proofErr w:type="spellEnd"/>
      <w:r w:rsidRPr="00382A0C">
        <w:rPr>
          <w:rFonts w:asciiTheme="minorHAnsi" w:hAnsiTheme="minorHAnsi" w:cstheme="minorHAnsi"/>
          <w:sz w:val="36"/>
          <w:szCs w:val="36"/>
        </w:rPr>
        <w:t xml:space="preserve"> (131-135 d.C.). Negli anni del Mandato furono elaborati anche miti legati alla contemporaneità. Tra essi primeggia quello di Yosef </w:t>
      </w:r>
      <w:proofErr w:type="spellStart"/>
      <w:r w:rsidRPr="00382A0C">
        <w:rPr>
          <w:rFonts w:asciiTheme="minorHAnsi" w:hAnsiTheme="minorHAnsi" w:cstheme="minorHAnsi"/>
          <w:sz w:val="36"/>
          <w:szCs w:val="36"/>
        </w:rPr>
        <w:t>Trumpeldor</w:t>
      </w:r>
      <w:proofErr w:type="spellEnd"/>
      <w:r w:rsidRPr="00382A0C">
        <w:rPr>
          <w:rFonts w:asciiTheme="minorHAnsi" w:hAnsiTheme="minorHAnsi" w:cstheme="minorHAnsi"/>
          <w:sz w:val="36"/>
          <w:szCs w:val="36"/>
        </w:rPr>
        <w:t xml:space="preserve"> (1880-1920) caduto in combattimento assieme ai suoi </w:t>
      </w:r>
      <w:r w:rsidR="007C2747" w:rsidRPr="00382A0C">
        <w:rPr>
          <w:rFonts w:asciiTheme="minorHAnsi" w:hAnsiTheme="minorHAnsi" w:cstheme="minorHAnsi"/>
          <w:sz w:val="36"/>
          <w:szCs w:val="36"/>
        </w:rPr>
        <w:t>compagni, in</w:t>
      </w:r>
      <w:r w:rsidRPr="00382A0C">
        <w:rPr>
          <w:rFonts w:asciiTheme="minorHAnsi" w:hAnsiTheme="minorHAnsi" w:cstheme="minorHAnsi"/>
          <w:sz w:val="36"/>
          <w:szCs w:val="36"/>
        </w:rPr>
        <w:t xml:space="preserve"> circostanze non ancora ben chiarite, a Tel </w:t>
      </w:r>
      <w:proofErr w:type="spellStart"/>
      <w:r w:rsidRPr="00382A0C">
        <w:rPr>
          <w:rFonts w:asciiTheme="minorHAnsi" w:hAnsiTheme="minorHAnsi" w:cstheme="minorHAnsi"/>
          <w:sz w:val="36"/>
          <w:szCs w:val="36"/>
        </w:rPr>
        <w:t>Chay</w:t>
      </w:r>
      <w:proofErr w:type="spellEnd"/>
      <w:r w:rsidRPr="00382A0C">
        <w:rPr>
          <w:rFonts w:asciiTheme="minorHAnsi" w:hAnsiTheme="minorHAnsi" w:cstheme="minorHAnsi"/>
          <w:sz w:val="36"/>
          <w:szCs w:val="36"/>
        </w:rPr>
        <w:t xml:space="preserve">, un’azienda agricola fortificata della Galilea. Ogni studente ebreo allora imparò a memoria le presunte ultime parole pronunciate dall’eroe: «Tutto questo non importa, è bello morire per la nostra patria». Il luogo, monumentalizzato, divenne meta di pellegrinaggio della gioventù sionista e David Ben Gurion, parlando della generazione dei pionieri, disse che «i compagni di </w:t>
      </w:r>
      <w:proofErr w:type="spellStart"/>
      <w:r w:rsidRPr="00382A0C">
        <w:rPr>
          <w:rFonts w:asciiTheme="minorHAnsi" w:hAnsiTheme="minorHAnsi" w:cstheme="minorHAnsi"/>
          <w:sz w:val="36"/>
          <w:szCs w:val="36"/>
        </w:rPr>
        <w:t>Trumpeldor</w:t>
      </w:r>
      <w:proofErr w:type="spellEnd"/>
      <w:r w:rsidRPr="00382A0C">
        <w:rPr>
          <w:rFonts w:asciiTheme="minorHAnsi" w:hAnsiTheme="minorHAnsi" w:cstheme="minorHAnsi"/>
          <w:sz w:val="36"/>
          <w:szCs w:val="36"/>
        </w:rPr>
        <w:t>» avevano «santificato con il loro sangue questo paese».</w:t>
      </w:r>
    </w:p>
    <w:p w14:paraId="496075AE" w14:textId="77777777" w:rsidR="00AB2F38" w:rsidRDefault="0036684D" w:rsidP="00827117">
      <w:pPr>
        <w:ind w:firstLine="170"/>
        <w:jc w:val="both"/>
        <w:rPr>
          <w:rFonts w:asciiTheme="minorHAnsi" w:hAnsiTheme="minorHAnsi" w:cstheme="minorHAnsi"/>
          <w:sz w:val="36"/>
          <w:szCs w:val="36"/>
        </w:rPr>
      </w:pPr>
      <w:r w:rsidRPr="00382A0C">
        <w:rPr>
          <w:rFonts w:asciiTheme="minorHAnsi" w:hAnsiTheme="minorHAnsi" w:cstheme="minorHAnsi"/>
          <w:sz w:val="36"/>
          <w:szCs w:val="36"/>
        </w:rPr>
        <w:lastRenderedPageBreak/>
        <w:t xml:space="preserve">Già prima della nascita dello Stato d’Israele, a risultare vincente sul piano ideologico fu il sionismo nazionalista. Ciò ebbe conseguenze anche sul modo di riassorbire l’utopia messianica. Quando, a seguito del compromesso nazional-religioso patrocinato da Ben Gurion, la componente rabbinica fu inserita a pieno titolo nelle strutture statuali, il riferimento messianico divenne, infatti, declinabile in modi istituzionali. L’eredità di Rav </w:t>
      </w:r>
      <w:proofErr w:type="spellStart"/>
      <w:r w:rsidRPr="00382A0C">
        <w:rPr>
          <w:rFonts w:asciiTheme="minorHAnsi" w:hAnsiTheme="minorHAnsi" w:cstheme="minorHAnsi"/>
          <w:sz w:val="36"/>
          <w:szCs w:val="36"/>
        </w:rPr>
        <w:t>Kook</w:t>
      </w:r>
      <w:proofErr w:type="spellEnd"/>
      <w:r w:rsidRPr="00382A0C">
        <w:rPr>
          <w:rFonts w:asciiTheme="minorHAnsi" w:hAnsiTheme="minorHAnsi" w:cstheme="minorHAnsi"/>
          <w:sz w:val="36"/>
          <w:szCs w:val="36"/>
        </w:rPr>
        <w:t xml:space="preserve"> fu, perciò, trascritta in termini che sarebbero risultati inaccettabili per il suo iniziatore. Infatti, dopo tredici anni dalla nascita dello Stato, il Gran Rabbinato decise di inserire nella liturgia sinagogale una preghiera, oggi ovunque recitata, che articolava in termini statuali la prospettiva messianica. Queste sono le sue parole iniziali: </w:t>
      </w:r>
    </w:p>
    <w:p w14:paraId="7BE7E585" w14:textId="148F6EE1" w:rsidR="0036684D" w:rsidRPr="00382A0C" w:rsidRDefault="0036684D" w:rsidP="00AB2F38">
      <w:pPr>
        <w:ind w:firstLine="170"/>
        <w:jc w:val="both"/>
        <w:rPr>
          <w:rFonts w:asciiTheme="minorHAnsi" w:hAnsiTheme="minorHAnsi" w:cstheme="minorHAnsi"/>
          <w:sz w:val="36"/>
          <w:szCs w:val="36"/>
        </w:rPr>
      </w:pPr>
      <w:r w:rsidRPr="00382A0C">
        <w:rPr>
          <w:rFonts w:asciiTheme="minorHAnsi" w:hAnsiTheme="minorHAnsi" w:cstheme="minorHAnsi"/>
          <w:sz w:val="36"/>
          <w:szCs w:val="36"/>
        </w:rPr>
        <w:t xml:space="preserve">«Padre nostro che sei nei cieli, roccia d’Israele e suo redentore, benedici lo Stato d’Israele, inizio della fioritura della nostra redenzione». </w:t>
      </w:r>
    </w:p>
    <w:p w14:paraId="0A5D0B71" w14:textId="77777777" w:rsidR="0036684D" w:rsidRPr="00382A0C" w:rsidRDefault="0036684D" w:rsidP="00827117">
      <w:pPr>
        <w:ind w:firstLine="170"/>
        <w:jc w:val="both"/>
        <w:rPr>
          <w:rFonts w:asciiTheme="minorHAnsi" w:hAnsiTheme="minorHAnsi" w:cstheme="minorHAnsi"/>
          <w:sz w:val="36"/>
          <w:szCs w:val="36"/>
        </w:rPr>
      </w:pPr>
    </w:p>
    <w:p w14:paraId="02A4B375" w14:textId="77777777" w:rsidR="00E4268B" w:rsidRPr="00382A0C" w:rsidRDefault="00E4268B" w:rsidP="00827117">
      <w:pPr>
        <w:jc w:val="both"/>
        <w:rPr>
          <w:rFonts w:asciiTheme="minorHAnsi" w:hAnsiTheme="minorHAnsi" w:cstheme="minorHAnsi"/>
          <w:b/>
          <w:bCs/>
          <w:color w:val="C45911" w:themeColor="accent2" w:themeShade="BF"/>
          <w:sz w:val="36"/>
          <w:szCs w:val="36"/>
        </w:rPr>
      </w:pPr>
    </w:p>
    <w:sectPr w:rsidR="00E4268B" w:rsidRPr="00382A0C" w:rsidSect="00BA3018">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60DC9" w14:textId="77777777" w:rsidR="0059218F" w:rsidRDefault="0059218F" w:rsidP="008E417D">
      <w:r>
        <w:separator/>
      </w:r>
    </w:p>
  </w:endnote>
  <w:endnote w:type="continuationSeparator" w:id="0">
    <w:p w14:paraId="1B472523" w14:textId="77777777" w:rsidR="0059218F" w:rsidRDefault="0059218F" w:rsidP="008E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41EC6" w14:textId="77777777" w:rsidR="0059218F" w:rsidRDefault="0059218F" w:rsidP="008E417D">
      <w:r>
        <w:separator/>
      </w:r>
    </w:p>
  </w:footnote>
  <w:footnote w:type="continuationSeparator" w:id="0">
    <w:p w14:paraId="031A5548" w14:textId="77777777" w:rsidR="0059218F" w:rsidRDefault="0059218F" w:rsidP="008E417D">
      <w:r>
        <w:continuationSeparator/>
      </w:r>
    </w:p>
  </w:footnote>
  <w:footnote w:id="1">
    <w:p w14:paraId="27925428" w14:textId="77777777" w:rsidR="008E417D" w:rsidRPr="00536578" w:rsidRDefault="008E417D" w:rsidP="008E417D">
      <w:pPr>
        <w:pStyle w:val="Testonotaapidipagina"/>
        <w:jc w:val="both"/>
        <w:rPr>
          <w:rFonts w:asciiTheme="minorHAnsi" w:hAnsiTheme="minorHAnsi" w:cstheme="minorHAnsi"/>
          <w:i/>
          <w:sz w:val="28"/>
          <w:szCs w:val="28"/>
        </w:rPr>
      </w:pPr>
      <w:r w:rsidRPr="00536578">
        <w:rPr>
          <w:rStyle w:val="Rimandonotaapidipagina"/>
          <w:rFonts w:asciiTheme="minorHAnsi" w:eastAsiaTheme="majorEastAsia" w:hAnsiTheme="minorHAnsi" w:cstheme="minorHAnsi"/>
          <w:sz w:val="28"/>
          <w:szCs w:val="28"/>
        </w:rPr>
        <w:footnoteRef/>
      </w:r>
      <w:r w:rsidRPr="00536578">
        <w:rPr>
          <w:rFonts w:asciiTheme="minorHAnsi" w:hAnsiTheme="minorHAnsi" w:cstheme="minorHAnsi"/>
          <w:sz w:val="28"/>
          <w:szCs w:val="28"/>
        </w:rPr>
        <w:t xml:space="preserve"> Cfr. A. Toaff, </w:t>
      </w:r>
      <w:r w:rsidRPr="00536578">
        <w:rPr>
          <w:rFonts w:asciiTheme="minorHAnsi" w:hAnsiTheme="minorHAnsi" w:cstheme="minorHAnsi"/>
          <w:i/>
          <w:sz w:val="28"/>
          <w:szCs w:val="28"/>
        </w:rPr>
        <w:t xml:space="preserve">Gerusalemme nella </w:t>
      </w:r>
      <w:r w:rsidRPr="00536578">
        <w:rPr>
          <w:rFonts w:asciiTheme="minorHAnsi" w:hAnsiTheme="minorHAnsi" w:cstheme="minorHAnsi"/>
          <w:sz w:val="28"/>
          <w:szCs w:val="28"/>
        </w:rPr>
        <w:t xml:space="preserve">Halakhah in G. Trotta (a cura di), </w:t>
      </w:r>
      <w:r w:rsidRPr="00536578">
        <w:rPr>
          <w:rFonts w:asciiTheme="minorHAnsi" w:hAnsiTheme="minorHAnsi" w:cstheme="minorHAnsi"/>
          <w:i/>
          <w:sz w:val="28"/>
          <w:szCs w:val="28"/>
        </w:rPr>
        <w:t>Gerusalemme</w:t>
      </w:r>
      <w:r w:rsidRPr="00536578">
        <w:rPr>
          <w:rFonts w:asciiTheme="minorHAnsi" w:hAnsiTheme="minorHAnsi" w:cstheme="minorHAnsi"/>
          <w:sz w:val="28"/>
          <w:szCs w:val="28"/>
        </w:rPr>
        <w:t>, Morcelliana, Brescia 1990, p.71-97.</w:t>
      </w:r>
    </w:p>
  </w:footnote>
  <w:footnote w:id="2">
    <w:p w14:paraId="5F2BA557" w14:textId="77777777" w:rsidR="00986B32" w:rsidRPr="00536578" w:rsidRDefault="00986B32" w:rsidP="00986B32">
      <w:pPr>
        <w:pStyle w:val="Testonotaapidipagina"/>
        <w:rPr>
          <w:rFonts w:asciiTheme="minorHAnsi" w:hAnsiTheme="minorHAnsi" w:cstheme="minorHAnsi"/>
          <w:sz w:val="28"/>
          <w:szCs w:val="28"/>
        </w:rPr>
      </w:pPr>
      <w:r w:rsidRPr="00536578">
        <w:rPr>
          <w:rStyle w:val="Rimandonotaapidipagina"/>
          <w:rFonts w:asciiTheme="minorHAnsi" w:eastAsiaTheme="majorEastAsia" w:hAnsiTheme="minorHAnsi" w:cstheme="minorHAnsi"/>
          <w:sz w:val="28"/>
          <w:szCs w:val="28"/>
        </w:rPr>
        <w:footnoteRef/>
      </w:r>
      <w:r w:rsidRPr="00536578">
        <w:rPr>
          <w:rFonts w:asciiTheme="minorHAnsi" w:hAnsiTheme="minorHAnsi" w:cstheme="minorHAnsi"/>
          <w:sz w:val="28"/>
          <w:szCs w:val="28"/>
        </w:rPr>
        <w:t xml:space="preserve"> Cfr. (Leibowitz 1989, 62).</w:t>
      </w:r>
    </w:p>
  </w:footnote>
  <w:footnote w:id="3">
    <w:p w14:paraId="539AE23B" w14:textId="77777777" w:rsidR="00B74946" w:rsidRPr="00536578" w:rsidRDefault="00B74946" w:rsidP="00B74946">
      <w:pPr>
        <w:pStyle w:val="Testonotaapidipagina"/>
        <w:rPr>
          <w:rFonts w:asciiTheme="minorHAnsi" w:hAnsiTheme="minorHAnsi" w:cstheme="minorHAnsi"/>
          <w:sz w:val="28"/>
          <w:szCs w:val="28"/>
        </w:rPr>
      </w:pPr>
      <w:r w:rsidRPr="00536578">
        <w:rPr>
          <w:rStyle w:val="Rimandonotaapidipagina"/>
          <w:rFonts w:asciiTheme="minorHAnsi" w:eastAsiaTheme="majorEastAsia" w:hAnsiTheme="minorHAnsi" w:cstheme="minorHAnsi"/>
          <w:sz w:val="28"/>
          <w:szCs w:val="28"/>
        </w:rPr>
        <w:footnoteRef/>
      </w:r>
      <w:r w:rsidRPr="00536578">
        <w:rPr>
          <w:rFonts w:asciiTheme="minorHAnsi" w:hAnsiTheme="minorHAnsi" w:cstheme="minorHAnsi"/>
          <w:sz w:val="28"/>
          <w:szCs w:val="28"/>
        </w:rPr>
        <w:t xml:space="preserve">  Cfr. R. Lavarini, </w:t>
      </w:r>
      <w:r w:rsidRPr="00536578">
        <w:rPr>
          <w:rFonts w:asciiTheme="minorHAnsi" w:hAnsiTheme="minorHAnsi" w:cstheme="minorHAnsi"/>
          <w:i/>
          <w:sz w:val="28"/>
          <w:szCs w:val="28"/>
        </w:rPr>
        <w:t>Il pellegrinaggio cristiano</w:t>
      </w:r>
      <w:r w:rsidRPr="00536578">
        <w:rPr>
          <w:rFonts w:asciiTheme="minorHAnsi" w:hAnsiTheme="minorHAnsi" w:cstheme="minorHAnsi"/>
          <w:sz w:val="28"/>
          <w:szCs w:val="28"/>
        </w:rPr>
        <w:t>, Marietti 1820, Genova 1997, pp. 109-165.</w:t>
      </w:r>
    </w:p>
  </w:footnote>
  <w:footnote w:id="4">
    <w:p w14:paraId="77E5E233" w14:textId="77777777" w:rsidR="00B74946" w:rsidRPr="00536578" w:rsidRDefault="00B74946" w:rsidP="00B74946">
      <w:pPr>
        <w:pStyle w:val="Testonotaapidipagina"/>
        <w:jc w:val="both"/>
        <w:rPr>
          <w:rFonts w:asciiTheme="minorHAnsi" w:hAnsiTheme="minorHAnsi" w:cstheme="minorHAnsi"/>
          <w:sz w:val="28"/>
          <w:szCs w:val="28"/>
          <w:lang w:val="en-GB"/>
        </w:rPr>
      </w:pPr>
      <w:r w:rsidRPr="00536578">
        <w:rPr>
          <w:rStyle w:val="Rimandonotaapidipagina"/>
          <w:rFonts w:asciiTheme="minorHAnsi" w:eastAsiaTheme="majorEastAsia" w:hAnsiTheme="minorHAnsi" w:cstheme="minorHAnsi"/>
          <w:sz w:val="28"/>
          <w:szCs w:val="28"/>
        </w:rPr>
        <w:footnoteRef/>
      </w:r>
      <w:r w:rsidRPr="00536578">
        <w:rPr>
          <w:rFonts w:asciiTheme="minorHAnsi" w:hAnsiTheme="minorHAnsi" w:cstheme="minorHAnsi"/>
          <w:sz w:val="28"/>
          <w:szCs w:val="28"/>
          <w:lang w:val="en-GB"/>
        </w:rPr>
        <w:t xml:space="preserve">  </w:t>
      </w:r>
      <w:proofErr w:type="spellStart"/>
      <w:r w:rsidRPr="00536578">
        <w:rPr>
          <w:rFonts w:asciiTheme="minorHAnsi" w:hAnsiTheme="minorHAnsi" w:cstheme="minorHAnsi"/>
          <w:sz w:val="28"/>
          <w:szCs w:val="28"/>
          <w:lang w:val="en-GB"/>
        </w:rPr>
        <w:t>Cfr</w:t>
      </w:r>
      <w:proofErr w:type="spellEnd"/>
      <w:r w:rsidRPr="00536578">
        <w:rPr>
          <w:rFonts w:asciiTheme="minorHAnsi" w:hAnsiTheme="minorHAnsi" w:cstheme="minorHAnsi"/>
          <w:sz w:val="28"/>
          <w:szCs w:val="28"/>
          <w:lang w:val="en-GB"/>
        </w:rPr>
        <w:t xml:space="preserve">. W. D. Davies, </w:t>
      </w:r>
      <w:r w:rsidRPr="00536578">
        <w:rPr>
          <w:rFonts w:asciiTheme="minorHAnsi" w:hAnsiTheme="minorHAnsi" w:cstheme="minorHAnsi"/>
          <w:i/>
          <w:sz w:val="28"/>
          <w:szCs w:val="28"/>
          <w:lang w:val="en-GB"/>
        </w:rPr>
        <w:t>The Gospel and the Land. Early Christianity and Jewish Territorial Doctrine</w:t>
      </w:r>
      <w:r w:rsidRPr="00536578">
        <w:rPr>
          <w:rFonts w:asciiTheme="minorHAnsi" w:hAnsiTheme="minorHAnsi" w:cstheme="minorHAnsi"/>
          <w:sz w:val="28"/>
          <w:szCs w:val="28"/>
          <w:lang w:val="en-GB"/>
        </w:rPr>
        <w:t>, Berkeley- Los Angeles - London 1974, pp. 366-367.</w:t>
      </w:r>
    </w:p>
  </w:footnote>
  <w:footnote w:id="5">
    <w:p w14:paraId="77B86760" w14:textId="77777777" w:rsidR="00B74946" w:rsidRPr="00536578" w:rsidRDefault="00B74946" w:rsidP="00B74946">
      <w:pPr>
        <w:pStyle w:val="Testonotaapidipagina"/>
        <w:jc w:val="both"/>
        <w:rPr>
          <w:rFonts w:asciiTheme="minorHAnsi" w:hAnsiTheme="minorHAnsi" w:cstheme="minorHAnsi"/>
          <w:sz w:val="28"/>
          <w:szCs w:val="28"/>
        </w:rPr>
      </w:pPr>
      <w:r w:rsidRPr="00536578">
        <w:rPr>
          <w:rStyle w:val="Rimandonotaapidipagina"/>
          <w:rFonts w:asciiTheme="minorHAnsi" w:eastAsiaTheme="majorEastAsia" w:hAnsiTheme="minorHAnsi" w:cstheme="minorHAnsi"/>
          <w:sz w:val="28"/>
          <w:szCs w:val="28"/>
        </w:rPr>
        <w:footnoteRef/>
      </w:r>
      <w:r w:rsidRPr="00536578">
        <w:rPr>
          <w:rFonts w:asciiTheme="minorHAnsi" w:hAnsiTheme="minorHAnsi" w:cstheme="minorHAnsi"/>
          <w:sz w:val="28"/>
          <w:szCs w:val="28"/>
        </w:rPr>
        <w:t xml:space="preserve"> Cfr. L. Perrone, </w:t>
      </w:r>
      <w:r w:rsidRPr="00536578">
        <w:rPr>
          <w:rFonts w:asciiTheme="minorHAnsi" w:hAnsiTheme="minorHAnsi" w:cstheme="minorHAnsi"/>
          <w:i/>
          <w:sz w:val="28"/>
          <w:szCs w:val="28"/>
        </w:rPr>
        <w:t>Per la storia della Palestina cristiana. La storia della chiesa in Terra santa</w:t>
      </w:r>
      <w:r w:rsidRPr="00536578">
        <w:rPr>
          <w:rFonts w:asciiTheme="minorHAnsi" w:hAnsiTheme="minorHAnsi" w:cstheme="minorHAnsi"/>
          <w:sz w:val="28"/>
          <w:szCs w:val="28"/>
        </w:rPr>
        <w:t xml:space="preserve">, in </w:t>
      </w:r>
      <w:r w:rsidRPr="00536578">
        <w:rPr>
          <w:rFonts w:asciiTheme="minorHAnsi" w:hAnsiTheme="minorHAnsi" w:cstheme="minorHAnsi"/>
          <w:i/>
          <w:sz w:val="28"/>
          <w:szCs w:val="28"/>
        </w:rPr>
        <w:t>Cristianesimo nella storia</w:t>
      </w:r>
      <w:r w:rsidRPr="00536578">
        <w:rPr>
          <w:rFonts w:asciiTheme="minorHAnsi" w:hAnsiTheme="minorHAnsi" w:cstheme="minorHAnsi"/>
          <w:sz w:val="28"/>
          <w:szCs w:val="28"/>
        </w:rPr>
        <w:t xml:space="preserve"> 7, 1986, p. 141.</w:t>
      </w:r>
    </w:p>
  </w:footnote>
  <w:footnote w:id="6">
    <w:p w14:paraId="24F05021" w14:textId="77777777" w:rsidR="00EF43A1" w:rsidRPr="00536578" w:rsidRDefault="00EF43A1" w:rsidP="00EF43A1">
      <w:pPr>
        <w:pStyle w:val="Testonotaapidipagina"/>
        <w:rPr>
          <w:rFonts w:asciiTheme="minorHAnsi" w:hAnsiTheme="minorHAnsi" w:cstheme="minorHAnsi"/>
          <w:sz w:val="28"/>
          <w:szCs w:val="28"/>
        </w:rPr>
      </w:pPr>
      <w:r w:rsidRPr="00536578">
        <w:rPr>
          <w:rStyle w:val="Rimandonotaapidipagina"/>
          <w:rFonts w:asciiTheme="minorHAnsi" w:eastAsiaTheme="majorEastAsia" w:hAnsiTheme="minorHAnsi" w:cstheme="minorHAnsi"/>
          <w:sz w:val="28"/>
          <w:szCs w:val="28"/>
        </w:rPr>
        <w:footnoteRef/>
      </w:r>
      <w:r w:rsidRPr="00536578">
        <w:rPr>
          <w:rFonts w:asciiTheme="minorHAnsi" w:hAnsiTheme="minorHAnsi" w:cstheme="minorHAnsi"/>
          <w:sz w:val="28"/>
          <w:szCs w:val="28"/>
        </w:rPr>
        <w:t xml:space="preserve"> In effetti gli ebrei di Bordeaux e di Avignone ottennero l'emancipazione nel 1790, mentre quelli dell'Alsazia e della Lorena solo nel 1791. </w:t>
      </w:r>
    </w:p>
  </w:footnote>
  <w:footnote w:id="7">
    <w:p w14:paraId="33F68CA7" w14:textId="655C6738" w:rsidR="00F141F5" w:rsidRPr="00F141F5" w:rsidRDefault="00F141F5">
      <w:pPr>
        <w:pStyle w:val="Testonotaapidipagina"/>
        <w:rPr>
          <w:rFonts w:asciiTheme="minorHAnsi" w:hAnsiTheme="minorHAnsi" w:cstheme="minorHAnsi"/>
          <w:sz w:val="28"/>
          <w:szCs w:val="28"/>
        </w:rPr>
      </w:pPr>
      <w:r w:rsidRPr="00F141F5">
        <w:rPr>
          <w:rStyle w:val="Rimandonotaapidipagina"/>
          <w:rFonts w:asciiTheme="minorHAnsi" w:hAnsiTheme="minorHAnsi" w:cstheme="minorHAnsi"/>
          <w:sz w:val="28"/>
          <w:szCs w:val="28"/>
        </w:rPr>
        <w:footnoteRef/>
      </w:r>
      <w:r w:rsidRPr="00F141F5">
        <w:rPr>
          <w:rFonts w:asciiTheme="minorHAnsi" w:hAnsiTheme="minorHAnsi" w:cstheme="minorHAnsi"/>
          <w:sz w:val="28"/>
          <w:szCs w:val="28"/>
        </w:rPr>
        <w:t xml:space="preserve"> Cfr</w:t>
      </w:r>
      <w:r>
        <w:rPr>
          <w:rFonts w:asciiTheme="minorHAnsi" w:hAnsiTheme="minorHAnsi" w:cstheme="minorHAnsi"/>
        </w:rPr>
        <w:t xml:space="preserve">. </w:t>
      </w:r>
      <w:r w:rsidRPr="00F141F5">
        <w:rPr>
          <w:rFonts w:asciiTheme="minorHAnsi" w:hAnsiTheme="minorHAnsi" w:cstheme="minorHAnsi"/>
          <w:sz w:val="28"/>
          <w:szCs w:val="28"/>
        </w:rPr>
        <w:t xml:space="preserve">A. Foa, </w:t>
      </w:r>
      <w:r w:rsidRPr="00F141F5">
        <w:rPr>
          <w:rFonts w:asciiTheme="minorHAnsi" w:hAnsiTheme="minorHAnsi" w:cstheme="minorHAnsi"/>
          <w:i/>
          <w:iCs/>
          <w:sz w:val="28"/>
          <w:szCs w:val="28"/>
        </w:rPr>
        <w:t>Il suicidio d’Israele</w:t>
      </w:r>
      <w:r>
        <w:rPr>
          <w:rFonts w:asciiTheme="minorHAnsi" w:hAnsiTheme="minorHAnsi" w:cstheme="minorHAnsi"/>
          <w:sz w:val="28"/>
          <w:szCs w:val="28"/>
        </w:rPr>
        <w:t>, Laterza, Bari-Roma 2024, pp. 12-13</w:t>
      </w:r>
    </w:p>
  </w:footnote>
  <w:footnote w:id="8">
    <w:p w14:paraId="4427C1A4" w14:textId="77777777" w:rsidR="00F85C5F" w:rsidRPr="00F141F5" w:rsidRDefault="00F85C5F" w:rsidP="00F85C5F">
      <w:pPr>
        <w:pStyle w:val="Testonotaapidipagina"/>
        <w:rPr>
          <w:rFonts w:asciiTheme="minorHAnsi" w:hAnsiTheme="minorHAnsi" w:cstheme="minorHAnsi"/>
          <w:sz w:val="28"/>
          <w:szCs w:val="28"/>
        </w:rPr>
      </w:pPr>
      <w:r w:rsidRPr="00F141F5">
        <w:rPr>
          <w:rStyle w:val="Rimandonotaapidipagina"/>
          <w:rFonts w:asciiTheme="minorHAnsi" w:eastAsiaTheme="majorEastAsia" w:hAnsiTheme="minorHAnsi" w:cstheme="minorHAnsi"/>
          <w:sz w:val="28"/>
          <w:szCs w:val="28"/>
        </w:rPr>
        <w:footnoteRef/>
      </w:r>
      <w:r w:rsidRPr="00F141F5">
        <w:rPr>
          <w:rFonts w:asciiTheme="minorHAnsi" w:hAnsiTheme="minorHAnsi" w:cstheme="minorHAnsi"/>
          <w:sz w:val="28"/>
          <w:szCs w:val="28"/>
        </w:rPr>
        <w:t xml:space="preserve"> Cf. Y. M. </w:t>
      </w:r>
      <w:proofErr w:type="spellStart"/>
      <w:r w:rsidRPr="00F141F5">
        <w:rPr>
          <w:rFonts w:asciiTheme="minorHAnsi" w:hAnsiTheme="minorHAnsi" w:cstheme="minorHAnsi"/>
          <w:sz w:val="28"/>
          <w:szCs w:val="28"/>
        </w:rPr>
        <w:t>Rabkin</w:t>
      </w:r>
      <w:proofErr w:type="spellEnd"/>
      <w:r w:rsidRPr="00F141F5">
        <w:rPr>
          <w:rFonts w:asciiTheme="minorHAnsi" w:hAnsiTheme="minorHAnsi" w:cstheme="minorHAnsi"/>
          <w:sz w:val="28"/>
          <w:szCs w:val="28"/>
        </w:rPr>
        <w:t xml:space="preserve">, </w:t>
      </w:r>
      <w:r w:rsidRPr="00F141F5">
        <w:rPr>
          <w:rFonts w:asciiTheme="minorHAnsi" w:hAnsiTheme="minorHAnsi" w:cstheme="minorHAnsi"/>
          <w:i/>
          <w:iCs/>
          <w:sz w:val="28"/>
          <w:szCs w:val="28"/>
        </w:rPr>
        <w:t>Una minaccia interna. Storia dell’opposizione ebraica al sionismo</w:t>
      </w:r>
      <w:r w:rsidRPr="00F141F5">
        <w:rPr>
          <w:rFonts w:asciiTheme="minorHAnsi" w:hAnsiTheme="minorHAnsi" w:cstheme="minorHAnsi"/>
          <w:sz w:val="28"/>
          <w:szCs w:val="28"/>
        </w:rPr>
        <w:t>, Ombre corte, Verona 2005.</w:t>
      </w:r>
    </w:p>
  </w:footnote>
  <w:footnote w:id="9">
    <w:p w14:paraId="300292D8" w14:textId="7BDE7B90" w:rsidR="00F141F5" w:rsidRPr="00F141F5" w:rsidRDefault="00F141F5">
      <w:pPr>
        <w:pStyle w:val="Testonotaapidipagina"/>
        <w:rPr>
          <w:rFonts w:asciiTheme="minorHAnsi" w:hAnsiTheme="minorHAnsi" w:cstheme="minorHAnsi"/>
          <w:sz w:val="28"/>
          <w:szCs w:val="28"/>
        </w:rPr>
      </w:pPr>
      <w:r w:rsidRPr="00F141F5">
        <w:rPr>
          <w:rStyle w:val="Rimandonotaapidipagina"/>
          <w:rFonts w:asciiTheme="minorHAnsi" w:hAnsiTheme="minorHAnsi" w:cstheme="minorHAnsi"/>
          <w:sz w:val="28"/>
          <w:szCs w:val="28"/>
        </w:rPr>
        <w:footnoteRef/>
      </w:r>
      <w:r w:rsidRPr="00F141F5">
        <w:rPr>
          <w:rFonts w:asciiTheme="minorHAnsi" w:hAnsiTheme="minorHAnsi" w:cstheme="minorHAnsi"/>
          <w:sz w:val="28"/>
          <w:szCs w:val="28"/>
        </w:rPr>
        <w:t xml:space="preserve"> Ivi, p.33</w:t>
      </w:r>
    </w:p>
  </w:footnote>
  <w:footnote w:id="10">
    <w:p w14:paraId="19880275" w14:textId="49257221" w:rsidR="00536578" w:rsidRPr="00515FED" w:rsidRDefault="00536578" w:rsidP="009566D5">
      <w:pPr>
        <w:pStyle w:val="Testonotaapidipagina"/>
        <w:jc w:val="both"/>
        <w:rPr>
          <w:rFonts w:cs="Arial"/>
          <w:sz w:val="28"/>
          <w:szCs w:val="28"/>
        </w:rPr>
      </w:pPr>
      <w:r w:rsidRPr="00536578">
        <w:rPr>
          <w:rStyle w:val="Rimandonotaapidipagina"/>
          <w:rFonts w:asciiTheme="minorHAnsi" w:hAnsiTheme="minorHAnsi" w:cstheme="minorHAnsi"/>
          <w:sz w:val="28"/>
          <w:szCs w:val="28"/>
        </w:rPr>
        <w:footnoteRef/>
      </w:r>
      <w:r w:rsidRPr="00536578">
        <w:rPr>
          <w:rFonts w:asciiTheme="minorHAnsi" w:hAnsiTheme="minorHAnsi" w:cstheme="minorHAnsi"/>
          <w:sz w:val="28"/>
          <w:szCs w:val="28"/>
        </w:rPr>
        <w:t xml:space="preserve"> Frase coniata dal ministro della Chiesa scozzese Alexander </w:t>
      </w:r>
      <w:r w:rsidR="00515FED" w:rsidRPr="00536578">
        <w:rPr>
          <w:rFonts w:asciiTheme="minorHAnsi" w:hAnsiTheme="minorHAnsi" w:cstheme="minorHAnsi"/>
          <w:sz w:val="28"/>
          <w:szCs w:val="28"/>
        </w:rPr>
        <w:t>Keith che</w:t>
      </w:r>
      <w:r w:rsidRPr="00536578">
        <w:rPr>
          <w:rFonts w:asciiTheme="minorHAnsi" w:hAnsiTheme="minorHAnsi" w:cstheme="minorHAnsi"/>
          <w:sz w:val="28"/>
          <w:szCs w:val="28"/>
        </w:rPr>
        <w:t xml:space="preserve"> nel 1843 affermò che gli</w:t>
      </w:r>
      <w:r>
        <w:rPr>
          <w:rFonts w:asciiTheme="minorHAnsi" w:hAnsiTheme="minorHAnsi" w:cstheme="minorHAnsi"/>
          <w:sz w:val="28"/>
          <w:szCs w:val="28"/>
        </w:rPr>
        <w:t xml:space="preserve"> </w:t>
      </w:r>
      <w:r w:rsidRPr="00536578">
        <w:rPr>
          <w:rFonts w:asciiTheme="minorHAnsi" w:hAnsiTheme="minorHAnsi" w:cstheme="minorHAnsi"/>
          <w:sz w:val="28"/>
          <w:szCs w:val="28"/>
        </w:rPr>
        <w:t>ebrei erano «un popolo senza u</w:t>
      </w:r>
      <w:r>
        <w:rPr>
          <w:rFonts w:asciiTheme="minorHAnsi" w:hAnsiTheme="minorHAnsi" w:cstheme="minorHAnsi"/>
          <w:sz w:val="28"/>
          <w:szCs w:val="28"/>
        </w:rPr>
        <w:t xml:space="preserve">n </w:t>
      </w:r>
      <w:r w:rsidRPr="00536578">
        <w:rPr>
          <w:rFonts w:asciiTheme="minorHAnsi" w:hAnsiTheme="minorHAnsi" w:cstheme="minorHAnsi"/>
          <w:sz w:val="28"/>
          <w:szCs w:val="28"/>
        </w:rPr>
        <w:t>paese, sebbene la</w:t>
      </w:r>
      <w:r>
        <w:rPr>
          <w:rFonts w:asciiTheme="minorHAnsi" w:hAnsiTheme="minorHAnsi" w:cstheme="minorHAnsi"/>
          <w:sz w:val="28"/>
          <w:szCs w:val="28"/>
        </w:rPr>
        <w:t xml:space="preserve"> </w:t>
      </w:r>
      <w:r w:rsidRPr="00536578">
        <w:rPr>
          <w:rFonts w:asciiTheme="minorHAnsi" w:hAnsiTheme="minorHAnsi" w:cstheme="minorHAnsi"/>
          <w:sz w:val="28"/>
          <w:szCs w:val="28"/>
        </w:rPr>
        <w:t>loro terra […] [fosse] in gran parte un paese senza popolo»</w:t>
      </w:r>
      <w:r>
        <w:rPr>
          <w:rFonts w:asciiTheme="minorHAnsi" w:hAnsiTheme="minorHAnsi" w:cstheme="minorHAnsi"/>
          <w:sz w:val="28"/>
          <w:szCs w:val="28"/>
        </w:rPr>
        <w:t>.</w:t>
      </w:r>
      <w:r w:rsidRPr="00536578">
        <w:rPr>
          <w:rFonts w:asciiTheme="minorHAnsi" w:hAnsiTheme="minorHAnsi" w:cstheme="minorHAnsi"/>
          <w:sz w:val="28"/>
          <w:szCs w:val="28"/>
        </w:rPr>
        <w:t xml:space="preserve"> </w:t>
      </w:r>
      <w:r>
        <w:rPr>
          <w:rFonts w:asciiTheme="minorHAnsi" w:hAnsiTheme="minorHAnsi" w:cstheme="minorHAnsi"/>
          <w:sz w:val="28"/>
          <w:szCs w:val="28"/>
        </w:rPr>
        <w:t>N</w:t>
      </w:r>
      <w:r w:rsidRPr="00536578">
        <w:rPr>
          <w:rFonts w:asciiTheme="minorHAnsi" w:hAnsiTheme="minorHAnsi" w:cstheme="minorHAnsi"/>
          <w:sz w:val="28"/>
          <w:szCs w:val="28"/>
        </w:rPr>
        <w:t xml:space="preserve">el 1853 </w:t>
      </w:r>
      <w:r>
        <w:rPr>
          <w:rFonts w:asciiTheme="minorHAnsi" w:hAnsiTheme="minorHAnsi" w:cstheme="minorHAnsi"/>
          <w:sz w:val="28"/>
          <w:szCs w:val="28"/>
        </w:rPr>
        <w:t>A</w:t>
      </w:r>
      <w:r w:rsidRPr="00536578">
        <w:rPr>
          <w:rFonts w:asciiTheme="minorHAnsi" w:hAnsiTheme="minorHAnsi" w:cstheme="minorHAnsi"/>
          <w:sz w:val="28"/>
          <w:szCs w:val="28"/>
        </w:rPr>
        <w:t>nth</w:t>
      </w:r>
      <w:r w:rsidR="00515FED">
        <w:rPr>
          <w:rFonts w:asciiTheme="minorHAnsi" w:hAnsiTheme="minorHAnsi" w:cstheme="minorHAnsi"/>
          <w:sz w:val="28"/>
          <w:szCs w:val="28"/>
        </w:rPr>
        <w:t>o</w:t>
      </w:r>
      <w:r w:rsidRPr="00536578">
        <w:rPr>
          <w:rFonts w:asciiTheme="minorHAnsi" w:hAnsiTheme="minorHAnsi" w:cstheme="minorHAnsi"/>
          <w:sz w:val="28"/>
          <w:szCs w:val="28"/>
        </w:rPr>
        <w:t>ny Ashley Cooper,</w:t>
      </w:r>
      <w:r w:rsidR="00515FED">
        <w:rPr>
          <w:rFonts w:asciiTheme="minorHAnsi" w:hAnsiTheme="minorHAnsi" w:cstheme="minorHAnsi"/>
          <w:sz w:val="28"/>
          <w:szCs w:val="28"/>
        </w:rPr>
        <w:t xml:space="preserve"> </w:t>
      </w:r>
      <w:r w:rsidRPr="00536578">
        <w:rPr>
          <w:rFonts w:asciiTheme="minorHAnsi" w:hAnsiTheme="minorHAnsi" w:cstheme="minorHAnsi"/>
          <w:sz w:val="28"/>
          <w:szCs w:val="28"/>
        </w:rPr>
        <w:t>conte d</w:t>
      </w:r>
      <w:r w:rsidR="00515FED">
        <w:rPr>
          <w:rFonts w:asciiTheme="minorHAnsi" w:hAnsiTheme="minorHAnsi" w:cstheme="minorHAnsi"/>
          <w:sz w:val="28"/>
          <w:szCs w:val="28"/>
        </w:rPr>
        <w:t>i</w:t>
      </w:r>
      <w:r w:rsidRPr="00536578">
        <w:rPr>
          <w:rFonts w:asciiTheme="minorHAnsi" w:hAnsiTheme="minorHAnsi" w:cstheme="minorHAnsi"/>
          <w:sz w:val="28"/>
          <w:szCs w:val="28"/>
        </w:rPr>
        <w:t xml:space="preserve"> Sha</w:t>
      </w:r>
      <w:r w:rsidR="00515FED">
        <w:rPr>
          <w:rFonts w:asciiTheme="minorHAnsi" w:hAnsiTheme="minorHAnsi" w:cstheme="minorHAnsi"/>
          <w:sz w:val="28"/>
          <w:szCs w:val="28"/>
        </w:rPr>
        <w:t>f</w:t>
      </w:r>
      <w:r w:rsidRPr="00536578">
        <w:rPr>
          <w:rFonts w:asciiTheme="minorHAnsi" w:hAnsiTheme="minorHAnsi" w:cstheme="minorHAnsi"/>
          <w:sz w:val="28"/>
          <w:szCs w:val="28"/>
        </w:rPr>
        <w:t>tesbury, de</w:t>
      </w:r>
      <w:r w:rsidR="00515FED">
        <w:rPr>
          <w:rFonts w:asciiTheme="minorHAnsi" w:hAnsiTheme="minorHAnsi" w:cstheme="minorHAnsi"/>
          <w:sz w:val="28"/>
          <w:szCs w:val="28"/>
        </w:rPr>
        <w:t>f</w:t>
      </w:r>
      <w:r w:rsidRPr="00536578">
        <w:rPr>
          <w:rFonts w:asciiTheme="minorHAnsi" w:hAnsiTheme="minorHAnsi" w:cstheme="minorHAnsi"/>
          <w:sz w:val="28"/>
          <w:szCs w:val="28"/>
        </w:rPr>
        <w:t xml:space="preserve">inì la Siria «un pase senza nazione» che aveva bisogno di </w:t>
      </w:r>
      <w:r w:rsidR="00515FED">
        <w:rPr>
          <w:rFonts w:asciiTheme="minorHAnsi" w:hAnsiTheme="minorHAnsi" w:cstheme="minorHAnsi"/>
          <w:sz w:val="28"/>
          <w:szCs w:val="28"/>
        </w:rPr>
        <w:t>«</w:t>
      </w:r>
      <w:r w:rsidRPr="00536578">
        <w:rPr>
          <w:rFonts w:asciiTheme="minorHAnsi" w:hAnsiTheme="minorHAnsi" w:cstheme="minorHAnsi"/>
          <w:sz w:val="28"/>
          <w:szCs w:val="28"/>
        </w:rPr>
        <w:t>u</w:t>
      </w:r>
      <w:r w:rsidR="00515FED">
        <w:rPr>
          <w:rFonts w:asciiTheme="minorHAnsi" w:hAnsiTheme="minorHAnsi" w:cstheme="minorHAnsi"/>
          <w:sz w:val="28"/>
          <w:szCs w:val="28"/>
        </w:rPr>
        <w:t>na</w:t>
      </w:r>
      <w:r w:rsidRPr="00536578">
        <w:rPr>
          <w:rFonts w:asciiTheme="minorHAnsi" w:hAnsiTheme="minorHAnsi" w:cstheme="minorHAnsi"/>
          <w:sz w:val="28"/>
          <w:szCs w:val="28"/>
        </w:rPr>
        <w:t xml:space="preserve"> nazione</w:t>
      </w:r>
      <w:r w:rsidR="00515FED">
        <w:rPr>
          <w:rFonts w:asciiTheme="minorHAnsi" w:hAnsiTheme="minorHAnsi" w:cstheme="minorHAnsi"/>
          <w:sz w:val="28"/>
          <w:szCs w:val="28"/>
        </w:rPr>
        <w:t xml:space="preserve"> senza paese</w:t>
      </w:r>
      <w:r w:rsidRPr="00536578">
        <w:rPr>
          <w:rFonts w:asciiTheme="minorHAnsi" w:hAnsiTheme="minorHAnsi" w:cstheme="minorHAnsi"/>
          <w:sz w:val="28"/>
          <w:szCs w:val="28"/>
        </w:rPr>
        <w:t>»</w:t>
      </w:r>
      <w:r w:rsidR="00515FED">
        <w:rPr>
          <w:rFonts w:asciiTheme="minorHAnsi" w:hAnsiTheme="minorHAnsi" w:cstheme="minorHAnsi"/>
          <w:sz w:val="28"/>
          <w:szCs w:val="28"/>
        </w:rPr>
        <w:t>, a vale a dire «gli antichi e legittimi proprietari di quel suolo, gli ebrei». «la Palestina è un pase senza popolo; gli ebrei sono un popolo senza patria» (Israel Zangwill, 1901).</w:t>
      </w:r>
      <w:r w:rsidR="009566D5">
        <w:rPr>
          <w:rFonts w:asciiTheme="minorHAnsi" w:hAnsiTheme="minorHAnsi" w:cstheme="minorHAnsi"/>
          <w:sz w:val="28"/>
          <w:szCs w:val="28"/>
        </w:rPr>
        <w:t xml:space="preserve"> Cfr. A. Marzano, «La Palestina una terra vuota e desolata» in </w:t>
      </w:r>
      <w:r w:rsidR="009566D5">
        <w:rPr>
          <w:rFonts w:asciiTheme="minorHAnsi" w:hAnsiTheme="minorHAnsi" w:cstheme="minorHAnsi"/>
          <w:i/>
          <w:iCs/>
          <w:sz w:val="28"/>
          <w:szCs w:val="28"/>
        </w:rPr>
        <w:t>Questa terra è nostra per sempre</w:t>
      </w:r>
      <w:r w:rsidR="009566D5">
        <w:rPr>
          <w:rFonts w:asciiTheme="minorHAnsi" w:hAnsiTheme="minorHAnsi" w:cstheme="minorHAnsi"/>
          <w:sz w:val="28"/>
          <w:szCs w:val="28"/>
        </w:rPr>
        <w:t>. Israele e Palestina, Laterza, Bari-Roma 2024.</w:t>
      </w:r>
      <w:r w:rsidR="00515FED">
        <w:rPr>
          <w:rFonts w:asciiTheme="minorHAnsi" w:hAnsiTheme="minorHAnsi" w:cstheme="minorHAnsi"/>
          <w:sz w:val="28"/>
          <w:szCs w:val="28"/>
        </w:rPr>
        <w:t xml:space="preserve"> </w:t>
      </w:r>
    </w:p>
  </w:footnote>
  <w:footnote w:id="11">
    <w:p w14:paraId="3A7EECA7" w14:textId="2BF2C6A9" w:rsidR="008C1B55" w:rsidRPr="00230802" w:rsidRDefault="008C1B55" w:rsidP="008C1B55">
      <w:pPr>
        <w:ind w:firstLine="170"/>
        <w:jc w:val="both"/>
        <w:rPr>
          <w:rFonts w:asciiTheme="minorHAnsi" w:eastAsiaTheme="minorHAnsi" w:hAnsiTheme="minorHAnsi" w:cstheme="minorHAnsi"/>
          <w:kern w:val="2"/>
          <w:sz w:val="28"/>
          <w:szCs w:val="28"/>
          <w:lang w:eastAsia="en-US"/>
          <w14:ligatures w14:val="standardContextual"/>
        </w:rPr>
      </w:pPr>
      <w:r>
        <w:rPr>
          <w:rStyle w:val="Rimandonotaapidipagina"/>
        </w:rPr>
        <w:footnoteRef/>
      </w:r>
      <w:r>
        <w:t xml:space="preserve"> </w:t>
      </w:r>
      <w:r w:rsidRPr="008C1B55">
        <w:rPr>
          <w:rFonts w:asciiTheme="minorHAnsi" w:eastAsiaTheme="minorHAnsi" w:hAnsiTheme="minorHAnsi" w:cstheme="minorHAnsi"/>
          <w:kern w:val="2"/>
          <w:sz w:val="36"/>
          <w:szCs w:val="36"/>
          <w:lang w:eastAsia="en-US"/>
          <w14:ligatures w14:val="standardContextual"/>
        </w:rPr>
        <w:t xml:space="preserve"> </w:t>
      </w:r>
      <w:r w:rsidRPr="00230802">
        <w:rPr>
          <w:rFonts w:asciiTheme="minorHAnsi" w:eastAsiaTheme="minorHAnsi" w:hAnsiTheme="minorHAnsi" w:cstheme="minorHAnsi"/>
          <w:kern w:val="2"/>
          <w:sz w:val="28"/>
          <w:szCs w:val="28"/>
          <w:lang w:eastAsia="en-US"/>
          <w14:ligatures w14:val="standardContextual"/>
        </w:rPr>
        <w:t xml:space="preserve">M. Buber, </w:t>
      </w:r>
      <w:r w:rsidRPr="00230802">
        <w:rPr>
          <w:rFonts w:asciiTheme="minorHAnsi" w:eastAsiaTheme="minorHAnsi" w:hAnsiTheme="minorHAnsi" w:cstheme="minorHAnsi"/>
          <w:i/>
          <w:iCs/>
          <w:kern w:val="2"/>
          <w:sz w:val="28"/>
          <w:szCs w:val="28"/>
          <w:lang w:eastAsia="en-US"/>
          <w14:ligatures w14:val="standardContextual"/>
        </w:rPr>
        <w:t xml:space="preserve">Una terra e due popoli. Sulla questione ebraico-araba. </w:t>
      </w:r>
      <w:r w:rsidRPr="00230802">
        <w:rPr>
          <w:rFonts w:asciiTheme="minorHAnsi" w:eastAsiaTheme="minorHAnsi" w:hAnsiTheme="minorHAnsi" w:cstheme="minorHAnsi"/>
          <w:kern w:val="2"/>
          <w:sz w:val="28"/>
          <w:szCs w:val="28"/>
          <w:lang w:eastAsia="en-US"/>
          <w14:ligatures w14:val="standardContextual"/>
        </w:rPr>
        <w:t xml:space="preserve">Testi scelti e introdotti da P. Mendes </w:t>
      </w:r>
      <w:proofErr w:type="spellStart"/>
      <w:r w:rsidRPr="00230802">
        <w:rPr>
          <w:rFonts w:asciiTheme="minorHAnsi" w:eastAsiaTheme="minorHAnsi" w:hAnsiTheme="minorHAnsi" w:cstheme="minorHAnsi"/>
          <w:kern w:val="2"/>
          <w:sz w:val="28"/>
          <w:szCs w:val="28"/>
          <w:lang w:eastAsia="en-US"/>
          <w14:ligatures w14:val="standardContextual"/>
        </w:rPr>
        <w:t>Florhr</w:t>
      </w:r>
      <w:proofErr w:type="spellEnd"/>
      <w:r w:rsidRPr="00230802">
        <w:rPr>
          <w:rFonts w:asciiTheme="minorHAnsi" w:eastAsiaTheme="minorHAnsi" w:hAnsiTheme="minorHAnsi" w:cstheme="minorHAnsi"/>
          <w:kern w:val="2"/>
          <w:sz w:val="28"/>
          <w:szCs w:val="28"/>
          <w:lang w:eastAsia="en-US"/>
          <w14:ligatures w14:val="standardContextual"/>
        </w:rPr>
        <w:t xml:space="preserve">, edizione italiana a cura di I. </w:t>
      </w:r>
      <w:proofErr w:type="spellStart"/>
      <w:r w:rsidRPr="00230802">
        <w:rPr>
          <w:rFonts w:asciiTheme="minorHAnsi" w:eastAsiaTheme="minorHAnsi" w:hAnsiTheme="minorHAnsi" w:cstheme="minorHAnsi"/>
          <w:kern w:val="2"/>
          <w:sz w:val="28"/>
          <w:szCs w:val="28"/>
          <w:lang w:eastAsia="en-US"/>
          <w14:ligatures w14:val="standardContextual"/>
        </w:rPr>
        <w:t>Kaion</w:t>
      </w:r>
      <w:proofErr w:type="spellEnd"/>
      <w:r w:rsidRPr="00230802">
        <w:rPr>
          <w:rFonts w:asciiTheme="minorHAnsi" w:eastAsiaTheme="minorHAnsi" w:hAnsiTheme="minorHAnsi" w:cstheme="minorHAnsi"/>
          <w:smallCaps/>
          <w:kern w:val="2"/>
          <w:sz w:val="28"/>
          <w:szCs w:val="28"/>
          <w:lang w:eastAsia="en-US"/>
          <w14:ligatures w14:val="standardContextual"/>
        </w:rPr>
        <w:t xml:space="preserve"> </w:t>
      </w:r>
      <w:r w:rsidRPr="00230802">
        <w:rPr>
          <w:rFonts w:asciiTheme="minorHAnsi" w:eastAsiaTheme="minorHAnsi" w:hAnsiTheme="minorHAnsi" w:cstheme="minorHAnsi"/>
          <w:kern w:val="2"/>
          <w:sz w:val="28"/>
          <w:szCs w:val="28"/>
          <w:lang w:eastAsia="en-US"/>
          <w14:ligatures w14:val="standardContextual"/>
        </w:rPr>
        <w:t xml:space="preserve">e P. </w:t>
      </w:r>
      <w:proofErr w:type="spellStart"/>
      <w:r w:rsidRPr="00230802">
        <w:rPr>
          <w:rFonts w:asciiTheme="minorHAnsi" w:eastAsiaTheme="minorHAnsi" w:hAnsiTheme="minorHAnsi" w:cstheme="minorHAnsi"/>
          <w:kern w:val="2"/>
          <w:sz w:val="28"/>
          <w:szCs w:val="28"/>
          <w:lang w:eastAsia="en-US"/>
          <w14:ligatures w14:val="standardContextual"/>
        </w:rPr>
        <w:t>Piccolella</w:t>
      </w:r>
      <w:proofErr w:type="spellEnd"/>
      <w:r w:rsidRPr="00230802">
        <w:rPr>
          <w:rFonts w:asciiTheme="minorHAnsi" w:eastAsiaTheme="minorHAnsi" w:hAnsiTheme="minorHAnsi" w:cstheme="minorHAnsi"/>
          <w:kern w:val="2"/>
          <w:sz w:val="28"/>
          <w:szCs w:val="28"/>
          <w:lang w:eastAsia="en-US"/>
          <w14:ligatures w14:val="standardContextual"/>
        </w:rPr>
        <w:t>, Giuntina, Firenze 2008, pp.</w:t>
      </w:r>
      <w:r w:rsidRPr="00230802">
        <w:rPr>
          <w:rFonts w:asciiTheme="minorHAnsi" w:eastAsiaTheme="minorHAnsi" w:hAnsiTheme="minorHAnsi" w:cstheme="minorHAnsi"/>
          <w:kern w:val="2"/>
          <w:sz w:val="28"/>
          <w:szCs w:val="28"/>
          <w:lang w:val="fr-FR" w:eastAsia="en-US"/>
          <w14:ligatures w14:val="standardContextual"/>
        </w:rPr>
        <w:t>260-261</w:t>
      </w:r>
      <w:r w:rsidR="00230802">
        <w:rPr>
          <w:rFonts w:asciiTheme="minorHAnsi" w:eastAsiaTheme="minorHAnsi" w:hAnsiTheme="minorHAnsi" w:cstheme="minorHAnsi"/>
          <w:kern w:val="2"/>
          <w:sz w:val="28"/>
          <w:szCs w:val="28"/>
          <w:lang w:val="fr-FR" w:eastAsia="en-US"/>
          <w14:ligatures w14:val="standardContextual"/>
        </w:rPr>
        <w:t>.</w:t>
      </w:r>
    </w:p>
    <w:p w14:paraId="5F5E7A09" w14:textId="32498F8C" w:rsidR="008C1B55" w:rsidRPr="00230802" w:rsidRDefault="008C1B55">
      <w:pPr>
        <w:pStyle w:val="Testonotaapidipagina"/>
        <w:rPr>
          <w:sz w:val="28"/>
          <w:szCs w:val="2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BC8"/>
    <w:multiLevelType w:val="hybridMultilevel"/>
    <w:tmpl w:val="DAE64270"/>
    <w:lvl w:ilvl="0" w:tplc="AF98DAC2">
      <w:start w:val="1"/>
      <w:numFmt w:val="upperLetter"/>
      <w:lvlText w:val="%1)"/>
      <w:lvlJc w:val="left"/>
      <w:pPr>
        <w:ind w:left="530"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1" w15:restartNumberingAfterBreak="0">
    <w:nsid w:val="1208688C"/>
    <w:multiLevelType w:val="hybridMultilevel"/>
    <w:tmpl w:val="6FA0F158"/>
    <w:lvl w:ilvl="0" w:tplc="C84CBC40">
      <w:start w:val="20"/>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28980FDB"/>
    <w:multiLevelType w:val="hybridMultilevel"/>
    <w:tmpl w:val="9E54ADE8"/>
    <w:lvl w:ilvl="0" w:tplc="F1480C78">
      <w:start w:val="30"/>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6D10279"/>
    <w:multiLevelType w:val="hybridMultilevel"/>
    <w:tmpl w:val="2A4607CC"/>
    <w:lvl w:ilvl="0" w:tplc="3D067692">
      <w:start w:val="1"/>
      <w:numFmt w:val="decimal"/>
      <w:lvlText w:val="%1."/>
      <w:lvlJc w:val="left"/>
      <w:pPr>
        <w:ind w:left="3196" w:hanging="360"/>
      </w:pPr>
      <w:rPr>
        <w:rFonts w:hint="default"/>
      </w:rPr>
    </w:lvl>
    <w:lvl w:ilvl="1" w:tplc="04100019" w:tentative="1">
      <w:start w:val="1"/>
      <w:numFmt w:val="lowerLetter"/>
      <w:lvlText w:val="%2."/>
      <w:lvlJc w:val="left"/>
      <w:pPr>
        <w:ind w:left="1250" w:hanging="360"/>
      </w:pPr>
    </w:lvl>
    <w:lvl w:ilvl="2" w:tplc="0410001B" w:tentative="1">
      <w:start w:val="1"/>
      <w:numFmt w:val="lowerRoman"/>
      <w:lvlText w:val="%3."/>
      <w:lvlJc w:val="right"/>
      <w:pPr>
        <w:ind w:left="1970" w:hanging="180"/>
      </w:pPr>
    </w:lvl>
    <w:lvl w:ilvl="3" w:tplc="0410000F" w:tentative="1">
      <w:start w:val="1"/>
      <w:numFmt w:val="decimal"/>
      <w:lvlText w:val="%4."/>
      <w:lvlJc w:val="left"/>
      <w:pPr>
        <w:ind w:left="2690" w:hanging="360"/>
      </w:pPr>
    </w:lvl>
    <w:lvl w:ilvl="4" w:tplc="04100019" w:tentative="1">
      <w:start w:val="1"/>
      <w:numFmt w:val="lowerLetter"/>
      <w:lvlText w:val="%5."/>
      <w:lvlJc w:val="left"/>
      <w:pPr>
        <w:ind w:left="3410" w:hanging="360"/>
      </w:pPr>
    </w:lvl>
    <w:lvl w:ilvl="5" w:tplc="0410001B" w:tentative="1">
      <w:start w:val="1"/>
      <w:numFmt w:val="lowerRoman"/>
      <w:lvlText w:val="%6."/>
      <w:lvlJc w:val="right"/>
      <w:pPr>
        <w:ind w:left="4130" w:hanging="180"/>
      </w:pPr>
    </w:lvl>
    <w:lvl w:ilvl="6" w:tplc="0410000F" w:tentative="1">
      <w:start w:val="1"/>
      <w:numFmt w:val="decimal"/>
      <w:lvlText w:val="%7."/>
      <w:lvlJc w:val="left"/>
      <w:pPr>
        <w:ind w:left="4850" w:hanging="360"/>
      </w:pPr>
    </w:lvl>
    <w:lvl w:ilvl="7" w:tplc="04100019" w:tentative="1">
      <w:start w:val="1"/>
      <w:numFmt w:val="lowerLetter"/>
      <w:lvlText w:val="%8."/>
      <w:lvlJc w:val="left"/>
      <w:pPr>
        <w:ind w:left="5570" w:hanging="360"/>
      </w:pPr>
    </w:lvl>
    <w:lvl w:ilvl="8" w:tplc="0410001B" w:tentative="1">
      <w:start w:val="1"/>
      <w:numFmt w:val="lowerRoman"/>
      <w:lvlText w:val="%9."/>
      <w:lvlJc w:val="right"/>
      <w:pPr>
        <w:ind w:left="6290" w:hanging="180"/>
      </w:pPr>
    </w:lvl>
  </w:abstractNum>
  <w:abstractNum w:abstractNumId="4" w15:restartNumberingAfterBreak="0">
    <w:nsid w:val="52705DBD"/>
    <w:multiLevelType w:val="hybridMultilevel"/>
    <w:tmpl w:val="3FC02250"/>
    <w:lvl w:ilvl="0" w:tplc="F7BEE3FE">
      <w:start w:val="30"/>
      <w:numFmt w:val="decimal"/>
      <w:lvlText w:val="%1"/>
      <w:lvlJc w:val="left"/>
      <w:pPr>
        <w:ind w:left="9008" w:hanging="360"/>
      </w:pPr>
      <w:rPr>
        <w:rFonts w:hint="default"/>
      </w:rPr>
    </w:lvl>
    <w:lvl w:ilvl="1" w:tplc="04100019" w:tentative="1">
      <w:start w:val="1"/>
      <w:numFmt w:val="lowerLetter"/>
      <w:lvlText w:val="%2."/>
      <w:lvlJc w:val="left"/>
      <w:pPr>
        <w:ind w:left="9728" w:hanging="360"/>
      </w:pPr>
    </w:lvl>
    <w:lvl w:ilvl="2" w:tplc="0410001B" w:tentative="1">
      <w:start w:val="1"/>
      <w:numFmt w:val="lowerRoman"/>
      <w:lvlText w:val="%3."/>
      <w:lvlJc w:val="right"/>
      <w:pPr>
        <w:ind w:left="10448" w:hanging="180"/>
      </w:pPr>
    </w:lvl>
    <w:lvl w:ilvl="3" w:tplc="0410000F" w:tentative="1">
      <w:start w:val="1"/>
      <w:numFmt w:val="decimal"/>
      <w:lvlText w:val="%4."/>
      <w:lvlJc w:val="left"/>
      <w:pPr>
        <w:ind w:left="11168" w:hanging="360"/>
      </w:pPr>
    </w:lvl>
    <w:lvl w:ilvl="4" w:tplc="04100019" w:tentative="1">
      <w:start w:val="1"/>
      <w:numFmt w:val="lowerLetter"/>
      <w:lvlText w:val="%5."/>
      <w:lvlJc w:val="left"/>
      <w:pPr>
        <w:ind w:left="11888" w:hanging="360"/>
      </w:pPr>
    </w:lvl>
    <w:lvl w:ilvl="5" w:tplc="0410001B" w:tentative="1">
      <w:start w:val="1"/>
      <w:numFmt w:val="lowerRoman"/>
      <w:lvlText w:val="%6."/>
      <w:lvlJc w:val="right"/>
      <w:pPr>
        <w:ind w:left="12608" w:hanging="180"/>
      </w:pPr>
    </w:lvl>
    <w:lvl w:ilvl="6" w:tplc="0410000F" w:tentative="1">
      <w:start w:val="1"/>
      <w:numFmt w:val="decimal"/>
      <w:lvlText w:val="%7."/>
      <w:lvlJc w:val="left"/>
      <w:pPr>
        <w:ind w:left="13328" w:hanging="360"/>
      </w:pPr>
    </w:lvl>
    <w:lvl w:ilvl="7" w:tplc="04100019" w:tentative="1">
      <w:start w:val="1"/>
      <w:numFmt w:val="lowerLetter"/>
      <w:lvlText w:val="%8."/>
      <w:lvlJc w:val="left"/>
      <w:pPr>
        <w:ind w:left="14048" w:hanging="360"/>
      </w:pPr>
    </w:lvl>
    <w:lvl w:ilvl="8" w:tplc="0410001B" w:tentative="1">
      <w:start w:val="1"/>
      <w:numFmt w:val="lowerRoman"/>
      <w:lvlText w:val="%9."/>
      <w:lvlJc w:val="right"/>
      <w:pPr>
        <w:ind w:left="14768" w:hanging="180"/>
      </w:pPr>
    </w:lvl>
  </w:abstractNum>
  <w:num w:numId="1" w16cid:durableId="1931893526">
    <w:abstractNumId w:val="3"/>
  </w:num>
  <w:num w:numId="2" w16cid:durableId="356590345">
    <w:abstractNumId w:val="0"/>
  </w:num>
  <w:num w:numId="3" w16cid:durableId="1309702855">
    <w:abstractNumId w:val="4"/>
  </w:num>
  <w:num w:numId="4" w16cid:durableId="117647425">
    <w:abstractNumId w:val="2"/>
  </w:num>
  <w:num w:numId="5" w16cid:durableId="1471047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7D"/>
    <w:rsid w:val="000332D7"/>
    <w:rsid w:val="00077093"/>
    <w:rsid w:val="00097C21"/>
    <w:rsid w:val="000F022E"/>
    <w:rsid w:val="00154F68"/>
    <w:rsid w:val="0016007B"/>
    <w:rsid w:val="001B3AF4"/>
    <w:rsid w:val="00230802"/>
    <w:rsid w:val="002434FE"/>
    <w:rsid w:val="002668B2"/>
    <w:rsid w:val="00290F78"/>
    <w:rsid w:val="002A2057"/>
    <w:rsid w:val="002C2CB2"/>
    <w:rsid w:val="002D6424"/>
    <w:rsid w:val="00310A95"/>
    <w:rsid w:val="00311B3E"/>
    <w:rsid w:val="00356675"/>
    <w:rsid w:val="0036684D"/>
    <w:rsid w:val="00382A0C"/>
    <w:rsid w:val="003A3D3D"/>
    <w:rsid w:val="003A5560"/>
    <w:rsid w:val="003E4E3E"/>
    <w:rsid w:val="003E74C5"/>
    <w:rsid w:val="004307D0"/>
    <w:rsid w:val="004562DA"/>
    <w:rsid w:val="004D1CE1"/>
    <w:rsid w:val="004E7258"/>
    <w:rsid w:val="00515FED"/>
    <w:rsid w:val="00536578"/>
    <w:rsid w:val="0058349E"/>
    <w:rsid w:val="0059218F"/>
    <w:rsid w:val="006027C8"/>
    <w:rsid w:val="0064585E"/>
    <w:rsid w:val="006C66ED"/>
    <w:rsid w:val="00737B69"/>
    <w:rsid w:val="007815EE"/>
    <w:rsid w:val="007C2747"/>
    <w:rsid w:val="00827117"/>
    <w:rsid w:val="008521B1"/>
    <w:rsid w:val="00860B84"/>
    <w:rsid w:val="008C1B55"/>
    <w:rsid w:val="008E417D"/>
    <w:rsid w:val="009566D5"/>
    <w:rsid w:val="00986B32"/>
    <w:rsid w:val="009A6894"/>
    <w:rsid w:val="00A503BE"/>
    <w:rsid w:val="00AB2F38"/>
    <w:rsid w:val="00B704E7"/>
    <w:rsid w:val="00B74946"/>
    <w:rsid w:val="00BA3018"/>
    <w:rsid w:val="00BB72AB"/>
    <w:rsid w:val="00C0694D"/>
    <w:rsid w:val="00C15155"/>
    <w:rsid w:val="00C225AB"/>
    <w:rsid w:val="00C62100"/>
    <w:rsid w:val="00C6658C"/>
    <w:rsid w:val="00CF0C89"/>
    <w:rsid w:val="00D437C1"/>
    <w:rsid w:val="00DB1CBE"/>
    <w:rsid w:val="00DF72F8"/>
    <w:rsid w:val="00E16C77"/>
    <w:rsid w:val="00E4268B"/>
    <w:rsid w:val="00EC736A"/>
    <w:rsid w:val="00ED4D7C"/>
    <w:rsid w:val="00EF43A1"/>
    <w:rsid w:val="00F141F5"/>
    <w:rsid w:val="00F73274"/>
    <w:rsid w:val="00F73409"/>
    <w:rsid w:val="00F85C5F"/>
    <w:rsid w:val="00FF085B"/>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26BA7"/>
  <w15:chartTrackingRefBased/>
  <w15:docId w15:val="{A1056925-83F3-4A0E-87D5-219C64C0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E417D"/>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8E417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8E417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8E417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8E417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Titolo5">
    <w:name w:val="heading 5"/>
    <w:basedOn w:val="Normale"/>
    <w:next w:val="Normale"/>
    <w:link w:val="Titolo5Carattere"/>
    <w:semiHidden/>
    <w:unhideWhenUsed/>
    <w:qFormat/>
    <w:rsid w:val="008E417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8E417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8E417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8E417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8E417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E417D"/>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E417D"/>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E417D"/>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E417D"/>
    <w:rPr>
      <w:rFonts w:eastAsiaTheme="majorEastAsia" w:cstheme="majorBidi"/>
      <w:i/>
      <w:iCs/>
      <w:color w:val="2F5496" w:themeColor="accent1" w:themeShade="BF"/>
    </w:rPr>
  </w:style>
  <w:style w:type="character" w:customStyle="1" w:styleId="Titolo5Carattere">
    <w:name w:val="Titolo 5 Carattere"/>
    <w:basedOn w:val="Carpredefinitoparagrafo"/>
    <w:link w:val="Titolo5"/>
    <w:semiHidden/>
    <w:rsid w:val="008E417D"/>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E417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E417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E417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E417D"/>
    <w:rPr>
      <w:rFonts w:eastAsiaTheme="majorEastAsia" w:cstheme="majorBidi"/>
      <w:color w:val="272727" w:themeColor="text1" w:themeTint="D8"/>
    </w:rPr>
  </w:style>
  <w:style w:type="paragraph" w:styleId="Titolo">
    <w:name w:val="Title"/>
    <w:basedOn w:val="Normale"/>
    <w:next w:val="Normale"/>
    <w:link w:val="TitoloCarattere"/>
    <w:uiPriority w:val="10"/>
    <w:qFormat/>
    <w:rsid w:val="008E417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8E417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E417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8E417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E417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8E417D"/>
    <w:rPr>
      <w:i/>
      <w:iCs/>
      <w:color w:val="404040" w:themeColor="text1" w:themeTint="BF"/>
    </w:rPr>
  </w:style>
  <w:style w:type="paragraph" w:styleId="Paragrafoelenco">
    <w:name w:val="List Paragraph"/>
    <w:basedOn w:val="Normale"/>
    <w:uiPriority w:val="34"/>
    <w:qFormat/>
    <w:rsid w:val="008E417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8E417D"/>
    <w:rPr>
      <w:i/>
      <w:iCs/>
      <w:color w:val="2F5496" w:themeColor="accent1" w:themeShade="BF"/>
    </w:rPr>
  </w:style>
  <w:style w:type="paragraph" w:styleId="Citazioneintensa">
    <w:name w:val="Intense Quote"/>
    <w:basedOn w:val="Normale"/>
    <w:next w:val="Normale"/>
    <w:link w:val="CitazioneintensaCarattere"/>
    <w:uiPriority w:val="30"/>
    <w:qFormat/>
    <w:rsid w:val="008E417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8E417D"/>
    <w:rPr>
      <w:i/>
      <w:iCs/>
      <w:color w:val="2F5496" w:themeColor="accent1" w:themeShade="BF"/>
    </w:rPr>
  </w:style>
  <w:style w:type="character" w:styleId="Riferimentointenso">
    <w:name w:val="Intense Reference"/>
    <w:basedOn w:val="Carpredefinitoparagrafo"/>
    <w:uiPriority w:val="32"/>
    <w:qFormat/>
    <w:rsid w:val="008E417D"/>
    <w:rPr>
      <w:b/>
      <w:bCs/>
      <w:smallCaps/>
      <w:color w:val="2F5496" w:themeColor="accent1" w:themeShade="BF"/>
      <w:spacing w:val="5"/>
    </w:rPr>
  </w:style>
  <w:style w:type="paragraph" w:styleId="Testonotaapidipagina">
    <w:name w:val="footnote text"/>
    <w:basedOn w:val="Normale"/>
    <w:link w:val="TestonotaapidipaginaCarattere"/>
    <w:uiPriority w:val="99"/>
    <w:unhideWhenUsed/>
    <w:rsid w:val="008E417D"/>
    <w:rPr>
      <w:rFonts w:ascii="Arial" w:hAnsi="Arial"/>
    </w:rPr>
  </w:style>
  <w:style w:type="character" w:customStyle="1" w:styleId="TestonotaapidipaginaCarattere">
    <w:name w:val="Testo nota a piè di pagina Carattere"/>
    <w:basedOn w:val="Carpredefinitoparagrafo"/>
    <w:link w:val="Testonotaapidipagina"/>
    <w:uiPriority w:val="99"/>
    <w:rsid w:val="008E417D"/>
    <w:rPr>
      <w:rFonts w:ascii="Arial" w:eastAsia="Times New Roman" w:hAnsi="Arial" w:cs="Times New Roman"/>
      <w:kern w:val="0"/>
      <w:sz w:val="20"/>
      <w:szCs w:val="20"/>
      <w:lang w:eastAsia="it-IT"/>
      <w14:ligatures w14:val="none"/>
    </w:rPr>
  </w:style>
  <w:style w:type="character" w:styleId="Rimandonotaapidipagina">
    <w:name w:val="footnote reference"/>
    <w:basedOn w:val="Carpredefinitoparagrafo"/>
    <w:uiPriority w:val="99"/>
    <w:semiHidden/>
    <w:unhideWhenUsed/>
    <w:rsid w:val="008E417D"/>
    <w:rPr>
      <w:vertAlign w:val="superscript"/>
    </w:rPr>
  </w:style>
  <w:style w:type="paragraph" w:styleId="Rientrocorpodeltesto3">
    <w:name w:val="Body Text Indent 3"/>
    <w:basedOn w:val="Normale"/>
    <w:link w:val="Rientrocorpodeltesto3Carattere"/>
    <w:uiPriority w:val="99"/>
    <w:semiHidden/>
    <w:unhideWhenUsed/>
    <w:rsid w:val="00986B32"/>
    <w:pPr>
      <w:spacing w:after="120" w:line="360" w:lineRule="auto"/>
      <w:ind w:left="283"/>
      <w:jc w:val="both"/>
    </w:pPr>
    <w:rPr>
      <w:rFonts w:eastAsiaTheme="minorHAnsi" w:cstheme="minorHAnsi"/>
      <w:sz w:val="16"/>
      <w:szCs w:val="16"/>
      <w:lang w:eastAsia="en-US"/>
    </w:rPr>
  </w:style>
  <w:style w:type="character" w:customStyle="1" w:styleId="Rientrocorpodeltesto3Carattere">
    <w:name w:val="Rientro corpo del testo 3 Carattere"/>
    <w:basedOn w:val="Carpredefinitoparagrafo"/>
    <w:link w:val="Rientrocorpodeltesto3"/>
    <w:uiPriority w:val="99"/>
    <w:semiHidden/>
    <w:rsid w:val="00986B32"/>
    <w:rPr>
      <w:rFonts w:ascii="Times New Roman" w:hAnsi="Times New Roman" w:cstheme="minorHAnsi"/>
      <w:kern w:val="0"/>
      <w:sz w:val="16"/>
      <w:szCs w:val="16"/>
      <w14:ligatures w14:val="none"/>
    </w:rPr>
  </w:style>
  <w:style w:type="paragraph" w:styleId="Corpotesto">
    <w:name w:val="Body Text"/>
    <w:basedOn w:val="Normale"/>
    <w:link w:val="CorpotestoCarattere"/>
    <w:uiPriority w:val="99"/>
    <w:semiHidden/>
    <w:unhideWhenUsed/>
    <w:rsid w:val="004562DA"/>
    <w:pPr>
      <w:spacing w:after="120"/>
    </w:pPr>
  </w:style>
  <w:style w:type="character" w:customStyle="1" w:styleId="CorpotestoCarattere">
    <w:name w:val="Corpo testo Carattere"/>
    <w:basedOn w:val="Carpredefinitoparagrafo"/>
    <w:link w:val="Corpotesto"/>
    <w:uiPriority w:val="99"/>
    <w:semiHidden/>
    <w:rsid w:val="004562DA"/>
    <w:rPr>
      <w:rFonts w:ascii="Times New Roman" w:eastAsia="Times New Roman" w:hAnsi="Times New Roman" w:cs="Times New Roman"/>
      <w:kern w:val="0"/>
      <w:sz w:val="20"/>
      <w:szCs w:val="20"/>
      <w:lang w:eastAsia="it-IT"/>
      <w14:ligatures w14:val="none"/>
    </w:rPr>
  </w:style>
  <w:style w:type="paragraph" w:styleId="Rientrocorpodeltesto">
    <w:name w:val="Body Text Indent"/>
    <w:basedOn w:val="Normale"/>
    <w:link w:val="RientrocorpodeltestoCarattere"/>
    <w:uiPriority w:val="99"/>
    <w:semiHidden/>
    <w:unhideWhenUsed/>
    <w:rsid w:val="0036684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36684D"/>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semiHidden/>
    <w:unhideWhenUsed/>
    <w:rsid w:val="00C6658C"/>
    <w:pPr>
      <w:spacing w:before="100" w:beforeAutospacing="1" w:after="100" w:afterAutospacing="1"/>
    </w:pPr>
    <w:rPr>
      <w:sz w:val="24"/>
      <w:szCs w:val="24"/>
    </w:rPr>
  </w:style>
  <w:style w:type="character" w:styleId="Collegamentoipertestuale">
    <w:name w:val="Hyperlink"/>
    <w:basedOn w:val="Carpredefinitoparagrafo"/>
    <w:uiPriority w:val="99"/>
    <w:semiHidden/>
    <w:unhideWhenUsed/>
    <w:rsid w:val="00311B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08">
      <w:bodyDiv w:val="1"/>
      <w:marLeft w:val="0"/>
      <w:marRight w:val="0"/>
      <w:marTop w:val="0"/>
      <w:marBottom w:val="0"/>
      <w:divBdr>
        <w:top w:val="none" w:sz="0" w:space="0" w:color="auto"/>
        <w:left w:val="none" w:sz="0" w:space="0" w:color="auto"/>
        <w:bottom w:val="none" w:sz="0" w:space="0" w:color="auto"/>
        <w:right w:val="none" w:sz="0" w:space="0" w:color="auto"/>
      </w:divBdr>
    </w:div>
    <w:div w:id="731464877">
      <w:bodyDiv w:val="1"/>
      <w:marLeft w:val="0"/>
      <w:marRight w:val="0"/>
      <w:marTop w:val="0"/>
      <w:marBottom w:val="0"/>
      <w:divBdr>
        <w:top w:val="none" w:sz="0" w:space="0" w:color="auto"/>
        <w:left w:val="none" w:sz="0" w:space="0" w:color="auto"/>
        <w:bottom w:val="none" w:sz="0" w:space="0" w:color="auto"/>
        <w:right w:val="none" w:sz="0" w:space="0" w:color="auto"/>
      </w:divBdr>
    </w:div>
    <w:div w:id="84528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Arthur_James_Balfour" TargetMode="External"/><Relationship Id="rId13" Type="http://schemas.openxmlformats.org/officeDocument/2006/relationships/hyperlink" Target="https://it.wikipedia.org/wiki/Regno_Unito_di_Gran_Bretagna_e_Irland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t.wikipedia.org/wiki/Trattato_di_S%C3%A8v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t.wikipedia.org/wiki/Sionismo" TargetMode="Externa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https://it.wikipedia.org/wiki/Comunit%C3%A0_ebraica" TargetMode="External"/><Relationship Id="rId4" Type="http://schemas.openxmlformats.org/officeDocument/2006/relationships/settings" Target="settings.xml"/><Relationship Id="rId9" Type="http://schemas.openxmlformats.org/officeDocument/2006/relationships/hyperlink" Target="https://it.wikipedia.org/wiki/Lionel_Walter_Rothschild" TargetMode="External"/><Relationship Id="rId14" Type="http://schemas.openxmlformats.org/officeDocument/2006/relationships/hyperlink" Target="https://it.wikipedia.org/wiki/Mandato_britannico_della_Palestin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ABD66-B6EF-4111-9732-EADA97C50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22</Pages>
  <Words>5198</Words>
  <Characters>29632</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38</cp:revision>
  <dcterms:created xsi:type="dcterms:W3CDTF">2025-04-15T16:14:00Z</dcterms:created>
  <dcterms:modified xsi:type="dcterms:W3CDTF">2025-04-28T07:14:00Z</dcterms:modified>
</cp:coreProperties>
</file>