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51F18" w14:textId="6B40FF64" w:rsidR="00AE68A4" w:rsidRPr="00DA72DA" w:rsidRDefault="00AE68A4" w:rsidP="00CE777F">
      <w:pPr>
        <w:spacing w:after="0" w:line="240" w:lineRule="auto"/>
        <w:jc w:val="center"/>
        <w:rPr>
          <w:b/>
          <w:bCs/>
          <w:color w:val="000000" w:themeColor="text1"/>
          <w:sz w:val="36"/>
          <w:szCs w:val="36"/>
        </w:rPr>
      </w:pPr>
      <w:r w:rsidRPr="00DA72DA">
        <w:rPr>
          <w:b/>
          <w:bCs/>
          <w:color w:val="000000" w:themeColor="text1"/>
          <w:sz w:val="36"/>
          <w:szCs w:val="36"/>
        </w:rPr>
        <w:t>19 marzo 2025</w:t>
      </w:r>
    </w:p>
    <w:p w14:paraId="2315FCBA" w14:textId="77777777" w:rsidR="00AE68A4" w:rsidRPr="00DA72DA" w:rsidRDefault="00AE68A4" w:rsidP="00CE777F">
      <w:pPr>
        <w:spacing w:after="0" w:line="240" w:lineRule="auto"/>
        <w:jc w:val="both"/>
        <w:rPr>
          <w:color w:val="000000" w:themeColor="text1"/>
          <w:sz w:val="36"/>
          <w:szCs w:val="36"/>
        </w:rPr>
      </w:pPr>
    </w:p>
    <w:p w14:paraId="37FAEA38" w14:textId="3096C525" w:rsidR="00AE68A4" w:rsidRPr="00DA72DA" w:rsidRDefault="00AE68A4" w:rsidP="00CE777F">
      <w:pPr>
        <w:spacing w:after="0" w:line="240" w:lineRule="auto"/>
        <w:jc w:val="both"/>
        <w:rPr>
          <w:b/>
          <w:bCs/>
          <w:color w:val="C45911" w:themeColor="accent2" w:themeShade="BF"/>
          <w:sz w:val="36"/>
          <w:szCs w:val="36"/>
        </w:rPr>
      </w:pPr>
      <w:r w:rsidRPr="00DA72DA">
        <w:rPr>
          <w:b/>
          <w:bCs/>
          <w:color w:val="C45911" w:themeColor="accent2" w:themeShade="BF"/>
          <w:sz w:val="36"/>
          <w:szCs w:val="36"/>
        </w:rPr>
        <w:t>1.«l’asino del nemico»</w:t>
      </w:r>
    </w:p>
    <w:p w14:paraId="2FF83EFC" w14:textId="77777777" w:rsidR="00AE68A4" w:rsidRPr="00DA72DA" w:rsidRDefault="00AE68A4" w:rsidP="00CE777F">
      <w:pPr>
        <w:spacing w:after="0" w:line="240" w:lineRule="auto"/>
        <w:ind w:firstLine="284"/>
        <w:jc w:val="both"/>
        <w:rPr>
          <w:rFonts w:cstheme="minorHAnsi"/>
          <w:sz w:val="36"/>
          <w:szCs w:val="36"/>
        </w:rPr>
      </w:pPr>
      <w:r w:rsidRPr="00DA72DA">
        <w:rPr>
          <w:sz w:val="36"/>
          <w:szCs w:val="36"/>
        </w:rPr>
        <w:t>Per ora trascriviamo il precetto nella versione cattolica ufficiale: «Quando incontrerai il bue del tuo nemico e il suo asino dispersi glieli dovrai ricondurre. Quando vedrai l'asino del tuo nemico accasciarsi sotto il carico, non abbandonarlo a sé stesso: mettiti con lui a scioglierlo dal carico» (Es 23, 4- 5).</w:t>
      </w:r>
      <w:r w:rsidRPr="00DA72DA">
        <w:rPr>
          <w:rStyle w:val="Rimandonotaapidipagina"/>
          <w:sz w:val="36"/>
          <w:szCs w:val="36"/>
        </w:rPr>
        <w:footnoteReference w:id="1"/>
      </w:r>
      <w:r w:rsidRPr="00DA72DA">
        <w:rPr>
          <w:sz w:val="36"/>
          <w:szCs w:val="36"/>
        </w:rPr>
        <w:t xml:space="preserve"> Il comandamento trova una parziale corrispondenza in un passo del Deuteronomio (22, 1-4) dove però si parla, con vari dettagli, di un capo di bestiame, grosso o minuto, che appartiene a </w:t>
      </w:r>
      <w:r w:rsidRPr="00DA72DA">
        <w:rPr>
          <w:rFonts w:cstheme="minorHAnsi"/>
          <w:sz w:val="36"/>
          <w:szCs w:val="36"/>
        </w:rPr>
        <w:t xml:space="preserve">«tuo fratello» e non già a colui che ti odia. </w:t>
      </w:r>
    </w:p>
    <w:p w14:paraId="61951ED0" w14:textId="77777777" w:rsidR="00AE68A4" w:rsidRPr="00DA72DA" w:rsidRDefault="00AE68A4" w:rsidP="00CE777F">
      <w:pPr>
        <w:spacing w:after="0" w:line="240" w:lineRule="auto"/>
        <w:ind w:firstLine="284"/>
        <w:jc w:val="both"/>
        <w:rPr>
          <w:rFonts w:cstheme="minorHAnsi"/>
          <w:sz w:val="36"/>
          <w:szCs w:val="36"/>
        </w:rPr>
      </w:pPr>
      <w:r w:rsidRPr="00DA72DA">
        <w:rPr>
          <w:rFonts w:cstheme="minorHAnsi"/>
          <w:sz w:val="36"/>
          <w:szCs w:val="36"/>
        </w:rPr>
        <w:t xml:space="preserve">La legislazione rabbinica si occupa, con la consueta acribia, di interpretare i particolari. La </w:t>
      </w:r>
      <w:r w:rsidRPr="00DA72DA">
        <w:rPr>
          <w:rFonts w:cstheme="minorHAnsi"/>
          <w:i/>
          <w:sz w:val="36"/>
          <w:szCs w:val="36"/>
        </w:rPr>
        <w:t xml:space="preserve">Mishnah </w:t>
      </w:r>
      <w:r w:rsidRPr="00DA72DA">
        <w:rPr>
          <w:rFonts w:cstheme="minorHAnsi"/>
          <w:sz w:val="36"/>
          <w:szCs w:val="36"/>
        </w:rPr>
        <w:t>comincia a domandarsi che cosa si deve intendere per «smarrito». Si entra così in una serie di casi per indicare in modo preciso e pratico come ci si debba effettivamente comportare.</w:t>
      </w:r>
      <w:r w:rsidRPr="00DA72DA">
        <w:rPr>
          <w:rStyle w:val="Rimandonotaapidipagina"/>
          <w:rFonts w:cstheme="minorHAnsi"/>
          <w:sz w:val="36"/>
          <w:szCs w:val="36"/>
        </w:rPr>
        <w:footnoteReference w:id="2"/>
      </w:r>
      <w:r w:rsidRPr="00DA72DA">
        <w:rPr>
          <w:rFonts w:cstheme="minorHAnsi"/>
          <w:sz w:val="36"/>
          <w:szCs w:val="36"/>
        </w:rPr>
        <w:t xml:space="preserve"> Il </w:t>
      </w:r>
      <w:r w:rsidRPr="00DA72DA">
        <w:rPr>
          <w:rFonts w:cstheme="minorHAnsi"/>
          <w:i/>
          <w:sz w:val="36"/>
          <w:szCs w:val="36"/>
        </w:rPr>
        <w:t xml:space="preserve">Midrash </w:t>
      </w:r>
      <w:r w:rsidRPr="00DA72DA">
        <w:rPr>
          <w:rFonts w:cstheme="minorHAnsi"/>
          <w:sz w:val="36"/>
          <w:szCs w:val="36"/>
        </w:rPr>
        <w:t xml:space="preserve">(per l'esattezza si tratta della </w:t>
      </w:r>
      <w:r w:rsidRPr="00DA72DA">
        <w:rPr>
          <w:rFonts w:cstheme="minorHAnsi"/>
          <w:i/>
          <w:sz w:val="36"/>
          <w:szCs w:val="36"/>
        </w:rPr>
        <w:t>Mekilta de Rabbi Ishmael</w:t>
      </w:r>
      <w:r w:rsidRPr="00DA72DA">
        <w:rPr>
          <w:rFonts w:cstheme="minorHAnsi"/>
          <w:sz w:val="36"/>
          <w:szCs w:val="36"/>
        </w:rPr>
        <w:t>) si preoccupa invece di stabilire chi debba intendersi per nemico. Le opinioni sono varie; si parla di un idolatra, di un proselito ritornato al paganesimo, di un «ebreo perduto» (passato cioè all'idolatria); ma ci sono anche ipotesi più interpersonali, per esempio quella riferita a un uomo che abbia picchiato il figlio di colui che scorge l'animale smarrito.</w:t>
      </w:r>
      <w:r w:rsidRPr="00DA72DA">
        <w:rPr>
          <w:rStyle w:val="Rimandonotaapidipagina"/>
          <w:rFonts w:cstheme="minorHAnsi"/>
          <w:sz w:val="36"/>
          <w:szCs w:val="36"/>
        </w:rPr>
        <w:footnoteReference w:id="3"/>
      </w:r>
    </w:p>
    <w:p w14:paraId="30CC0687" w14:textId="54F00F51" w:rsidR="00AE68A4" w:rsidRPr="00DA72DA" w:rsidRDefault="00AE68A4" w:rsidP="00CE777F">
      <w:pPr>
        <w:spacing w:after="0" w:line="240" w:lineRule="auto"/>
        <w:ind w:firstLine="284"/>
        <w:jc w:val="both"/>
        <w:rPr>
          <w:rFonts w:cstheme="minorHAnsi"/>
          <w:sz w:val="36"/>
          <w:szCs w:val="36"/>
        </w:rPr>
      </w:pPr>
      <w:r w:rsidRPr="00DA72DA">
        <w:rPr>
          <w:rFonts w:cstheme="minorHAnsi"/>
          <w:sz w:val="36"/>
          <w:szCs w:val="36"/>
        </w:rPr>
        <w:lastRenderedPageBreak/>
        <w:t xml:space="preserve">Prendiamo in considerazione un'altra traduzione del passo: «Se tu scorgi l'asino del tuo nemico soccombere sotto il proprio peso, guardati bene dall'abbandonarlo, al contrario lo aiuterai a scaricarlo (lett. </w:t>
      </w:r>
      <w:r w:rsidR="00333618" w:rsidRPr="00DA72DA">
        <w:rPr>
          <w:rFonts w:cstheme="minorHAnsi"/>
          <w:sz w:val="36"/>
          <w:szCs w:val="36"/>
        </w:rPr>
        <w:t>S</w:t>
      </w:r>
      <w:r w:rsidRPr="00DA72DA">
        <w:rPr>
          <w:rFonts w:cstheme="minorHAnsi"/>
          <w:sz w:val="36"/>
          <w:szCs w:val="36"/>
        </w:rPr>
        <w:t>caricherai</w:t>
      </w:r>
      <w:r w:rsidR="00333618" w:rsidRPr="00DA72DA">
        <w:rPr>
          <w:rFonts w:cstheme="minorHAnsi"/>
          <w:sz w:val="36"/>
          <w:szCs w:val="36"/>
        </w:rPr>
        <w:t>,</w:t>
      </w:r>
      <w:r w:rsidRPr="00DA72DA">
        <w:rPr>
          <w:rFonts w:cstheme="minorHAnsi"/>
          <w:sz w:val="36"/>
          <w:szCs w:val="36"/>
        </w:rPr>
        <w:t xml:space="preserve"> scaricherai con lui)».</w:t>
      </w:r>
      <w:r w:rsidRPr="00DA72DA">
        <w:rPr>
          <w:rStyle w:val="Rimandonotaapidipagina"/>
          <w:rFonts w:cstheme="minorHAnsi"/>
          <w:sz w:val="36"/>
          <w:szCs w:val="36"/>
        </w:rPr>
        <w:footnoteReference w:id="4"/>
      </w:r>
      <w:r w:rsidRPr="00DA72DA">
        <w:rPr>
          <w:rFonts w:cstheme="minorHAnsi"/>
          <w:sz w:val="36"/>
          <w:szCs w:val="36"/>
        </w:rPr>
        <w:t xml:space="preserve"> La </w:t>
      </w:r>
      <w:r w:rsidRPr="00DA72DA">
        <w:rPr>
          <w:rFonts w:cstheme="minorHAnsi"/>
          <w:i/>
          <w:sz w:val="36"/>
          <w:szCs w:val="36"/>
        </w:rPr>
        <w:t xml:space="preserve">Mishnah </w:t>
      </w:r>
      <w:r w:rsidRPr="00DA72DA">
        <w:rPr>
          <w:rFonts w:cstheme="minorHAnsi"/>
          <w:sz w:val="36"/>
          <w:szCs w:val="36"/>
        </w:rPr>
        <w:t>(</w:t>
      </w:r>
      <w:r w:rsidRPr="00DA72DA">
        <w:rPr>
          <w:rFonts w:cstheme="minorHAnsi"/>
          <w:i/>
          <w:sz w:val="36"/>
          <w:szCs w:val="36"/>
        </w:rPr>
        <w:t xml:space="preserve">Bavà Metzià </w:t>
      </w:r>
      <w:r w:rsidRPr="00DA72DA">
        <w:rPr>
          <w:rFonts w:cstheme="minorHAnsi"/>
          <w:sz w:val="36"/>
          <w:szCs w:val="36"/>
        </w:rPr>
        <w:t>2,9) a questo proposito argomenta: «Se uno ha scaricato il peso e ricaricato, e di nuovo scaricato e ricaricato, persino quattro o cinque volte, è tuttavia obbligato ancora perché il testo dice: “Devi scaricare e scaricare”. Se però (il proprietario) va e si mette in disparte e dice (all'altro): Siccome a te incombe il dovere, se vuoi scaricare scarica; l'altro è assolto perché il testo dice: con lui (cioè con l'aiuto del proprietario). Se (quegli) però è vecchio o malato, si è obbligati. Il comandamento biblico è solamente di scaricare, ma non già di caricare. R. Simeone opina anche di caricare. R. José di Galilea insegna: Se avrà addosso un peso maggiore di quanto esso potesse portare, non si è a ciò obbligati, perché il testo dice “sotto il suo peso” il che significa un peso che esso può portare».</w:t>
      </w:r>
      <w:r w:rsidRPr="00DA72DA">
        <w:rPr>
          <w:rStyle w:val="Rimandonotaapidipagina"/>
          <w:rFonts w:cstheme="minorHAnsi"/>
          <w:sz w:val="36"/>
          <w:szCs w:val="36"/>
        </w:rPr>
        <w:footnoteReference w:id="5"/>
      </w:r>
      <w:r w:rsidRPr="00DA72DA">
        <w:rPr>
          <w:rFonts w:cstheme="minorHAnsi"/>
          <w:sz w:val="36"/>
          <w:szCs w:val="36"/>
        </w:rPr>
        <w:t xml:space="preserve"> </w:t>
      </w:r>
    </w:p>
    <w:p w14:paraId="3CBEADAE" w14:textId="77777777" w:rsidR="00FB6567" w:rsidRDefault="00AE68A4" w:rsidP="00CE777F">
      <w:pPr>
        <w:spacing w:after="0" w:line="240" w:lineRule="auto"/>
        <w:ind w:firstLine="284"/>
        <w:jc w:val="both"/>
        <w:rPr>
          <w:rFonts w:cstheme="minorHAnsi"/>
          <w:sz w:val="36"/>
          <w:szCs w:val="36"/>
        </w:rPr>
      </w:pPr>
      <w:r w:rsidRPr="00DA72DA">
        <w:rPr>
          <w:rFonts w:cstheme="minorHAnsi"/>
          <w:sz w:val="36"/>
          <w:szCs w:val="36"/>
        </w:rPr>
        <w:t xml:space="preserve">Per quanto possa dispiacere a una determinata sensibilità contemporanea, l'argomentare rabbinico non è affatto mosso da istanze legate alla tutela degli animali. Anzi, troviamo l'opinione addirittura opposta a quella che si dà pensiero della sofferenza animale: se il cadere dell'asino è dovuto al fatto di essere stato caricato in eccesso, si è infatti dichiarati sciolti dall'obbligo. Discorso analogo nel caso in cui il proprietario, con una specie di sottile ricatto precettistico, se ne sta in disparte aspettando di vedere se </w:t>
      </w:r>
      <w:r w:rsidR="00FB6567">
        <w:rPr>
          <w:rFonts w:cstheme="minorHAnsi"/>
          <w:sz w:val="36"/>
          <w:szCs w:val="36"/>
        </w:rPr>
        <w:t>l’altro uomo</w:t>
      </w:r>
      <w:r w:rsidRPr="00DA72DA">
        <w:rPr>
          <w:rFonts w:cstheme="minorHAnsi"/>
          <w:sz w:val="36"/>
          <w:szCs w:val="36"/>
        </w:rPr>
        <w:t xml:space="preserve"> agisca o meno secondo quanto prescrittogli dalla Torah. </w:t>
      </w:r>
    </w:p>
    <w:p w14:paraId="1E233147" w14:textId="304C214D" w:rsidR="00AE68A4" w:rsidRPr="00DA72DA" w:rsidRDefault="00AE68A4" w:rsidP="00CE777F">
      <w:pPr>
        <w:spacing w:after="0" w:line="240" w:lineRule="auto"/>
        <w:ind w:firstLine="284"/>
        <w:jc w:val="both"/>
        <w:rPr>
          <w:rFonts w:cstheme="minorHAnsi"/>
          <w:sz w:val="36"/>
          <w:szCs w:val="36"/>
        </w:rPr>
      </w:pPr>
      <w:r w:rsidRPr="00DA72DA">
        <w:rPr>
          <w:rFonts w:cstheme="minorHAnsi"/>
          <w:sz w:val="36"/>
          <w:szCs w:val="36"/>
        </w:rPr>
        <w:lastRenderedPageBreak/>
        <w:t xml:space="preserve">In definitiva, il fulcro della questione sta nel fatto che ci si trova di fronte a una </w:t>
      </w:r>
      <w:r w:rsidRPr="00DA72DA">
        <w:rPr>
          <w:rFonts w:cstheme="minorHAnsi"/>
          <w:i/>
          <w:sz w:val="36"/>
          <w:szCs w:val="36"/>
        </w:rPr>
        <w:t>mizwah</w:t>
      </w:r>
      <w:r w:rsidRPr="00DA72DA">
        <w:rPr>
          <w:rFonts w:cstheme="minorHAnsi"/>
          <w:sz w:val="36"/>
          <w:szCs w:val="36"/>
        </w:rPr>
        <w:t xml:space="preserve"> (precetto) che va messo in pratica. L'immane sforzo casistico che anima </w:t>
      </w:r>
      <w:r w:rsidRPr="00FB6567">
        <w:rPr>
          <w:rFonts w:cstheme="minorHAnsi"/>
          <w:sz w:val="36"/>
          <w:szCs w:val="36"/>
        </w:rPr>
        <w:t>l’</w:t>
      </w:r>
      <w:r w:rsidR="00FB6567" w:rsidRPr="00FB6567">
        <w:rPr>
          <w:rFonts w:cstheme="minorHAnsi"/>
          <w:i/>
          <w:iCs/>
          <w:sz w:val="36"/>
          <w:szCs w:val="36"/>
        </w:rPr>
        <w:t>halakhah</w:t>
      </w:r>
      <w:r w:rsidRPr="00DA72DA">
        <w:rPr>
          <w:rFonts w:cstheme="minorHAnsi"/>
          <w:sz w:val="36"/>
          <w:szCs w:val="36"/>
        </w:rPr>
        <w:t xml:space="preserve"> rabbinica è un modo per stabilire come si possa sempre agire in conformità con la volontà divina in una serie di situazioni che la vita moltiplica senza posa. Il criterio base che guida l'azione si radica nell'interpretazione non nella coscienza. Il fondamento sta nella volontà di Dio (contenuta nei comandamenti) che si è tenuti a mettere in pratica. Nel nostro caso specifico, l'atto di prestar aiuto a chi ci odia non deriva dai dettami di un'etica autonoma. </w:t>
      </w:r>
    </w:p>
    <w:p w14:paraId="72B475A4" w14:textId="77777777" w:rsidR="00FB6567" w:rsidRDefault="00AE68A4" w:rsidP="00CE777F">
      <w:pPr>
        <w:spacing w:after="0" w:line="240" w:lineRule="auto"/>
        <w:jc w:val="both"/>
        <w:rPr>
          <w:rFonts w:cstheme="minorHAnsi"/>
          <w:sz w:val="36"/>
          <w:szCs w:val="36"/>
        </w:rPr>
      </w:pPr>
      <w:r w:rsidRPr="00DA72DA">
        <w:rPr>
          <w:rFonts w:cstheme="minorHAnsi"/>
          <w:sz w:val="36"/>
          <w:szCs w:val="36"/>
        </w:rPr>
        <w:t>In una società in cui è ben difficile imbattersi in asini che cadono sotto il loro carico, il tentativo di rendere rigorosamente applicabile una norma antica sembra destinato all'irrilevanza. All'interno di un mondo nel quale l'inimicizia reciproca continua a prosperare, per ricavare dal comandamento un significato attuale bisogna ritornare al testo biblico. La via principe per cercare di comprenderlo sta nel chiedersi come vada tradotto il nostro versetto. Il testo ebraico è complesso. Nella resa consueta del precetto, vi è un «non abbandonarlo a sé stesso» che introduce un «non» assente in ebraico. Inoltre il termine «nemico» traduce l'espressione che, resa alla lettera, indica «colui che ti odia». Per cogliere il senso del testo va poi evidenziato che la componente imperativa è riservata solo alla parte conclusiva della frase (alla lettera «sciogli, sciogli con lui»); la riga precedente esprime invece la scelta iniziale, opposta al soccorso, compiuta da colui che vede la bestia a terra. Il versetto, quindi, andrebbe reso, all'incirca, in questo modo:</w:t>
      </w:r>
    </w:p>
    <w:p w14:paraId="7275245B" w14:textId="1BFC68AD" w:rsidR="00FB6567" w:rsidRPr="00FB6567" w:rsidRDefault="00AE68A4" w:rsidP="00FB6567">
      <w:pPr>
        <w:pStyle w:val="Testonotaapidipagina"/>
        <w:rPr>
          <w:sz w:val="36"/>
          <w:szCs w:val="36"/>
        </w:rPr>
      </w:pPr>
      <w:r w:rsidRPr="00DA72DA">
        <w:rPr>
          <w:rFonts w:cstheme="minorHAnsi"/>
          <w:sz w:val="36"/>
          <w:szCs w:val="36"/>
        </w:rPr>
        <w:lastRenderedPageBreak/>
        <w:t xml:space="preserve"> </w:t>
      </w:r>
      <w:r w:rsidRPr="00DA72DA">
        <w:rPr>
          <w:rFonts w:cstheme="minorHAnsi"/>
          <w:b/>
          <w:bCs/>
          <w:color w:val="C45911" w:themeColor="accent2" w:themeShade="BF"/>
          <w:sz w:val="36"/>
          <w:szCs w:val="36"/>
        </w:rPr>
        <w:t>«Quando vedi l'asino di colui che ti odia accasciarsi sotto il carico e desisti dal scioglierlo [asino]» proprio allora «sciogli, sciogli con lui [colui che ti odia]».</w:t>
      </w:r>
      <w:r w:rsidRPr="00DA72DA">
        <w:rPr>
          <w:rStyle w:val="Rimandonotaapidipagina"/>
          <w:rFonts w:cstheme="minorHAnsi"/>
          <w:b/>
          <w:bCs/>
          <w:sz w:val="36"/>
          <w:szCs w:val="36"/>
        </w:rPr>
        <w:footnoteReference w:id="6"/>
      </w:r>
      <w:r w:rsidRPr="00DA72DA">
        <w:rPr>
          <w:rFonts w:cstheme="minorHAnsi"/>
          <w:color w:val="C45911" w:themeColor="accent2" w:themeShade="BF"/>
          <w:sz w:val="36"/>
          <w:szCs w:val="36"/>
        </w:rPr>
        <w:t xml:space="preserve"> </w:t>
      </w:r>
      <w:r w:rsidR="00FB6567" w:rsidRPr="00FB6567">
        <w:rPr>
          <w:sz w:val="36"/>
          <w:szCs w:val="36"/>
        </w:rPr>
        <w:t>Bibbia</w:t>
      </w:r>
      <w:r w:rsidR="00FB6567" w:rsidRPr="00FB6567">
        <w:rPr>
          <w:i/>
          <w:sz w:val="36"/>
          <w:szCs w:val="36"/>
        </w:rPr>
        <w:t xml:space="preserve"> </w:t>
      </w:r>
      <w:r w:rsidR="00FB6567" w:rsidRPr="00FB6567">
        <w:rPr>
          <w:sz w:val="36"/>
          <w:szCs w:val="36"/>
        </w:rPr>
        <w:t>edita da Einaudi, Torino 2021: «Qualora dovessi vedere l'asino del tuo avversario accasciarsi sotto il suo carico e volessi astenerti dal soccorrerlo, ti metterai al contrario a soccorrerlo con lui» (trad. it.  F. Giuntoli).</w:t>
      </w:r>
    </w:p>
    <w:p w14:paraId="4726282A" w14:textId="1300AD13" w:rsidR="00AE68A4" w:rsidRPr="00DA72DA" w:rsidRDefault="00AE68A4" w:rsidP="00CE777F">
      <w:pPr>
        <w:spacing w:after="0" w:line="240" w:lineRule="auto"/>
        <w:jc w:val="both"/>
        <w:rPr>
          <w:sz w:val="36"/>
          <w:szCs w:val="36"/>
        </w:rPr>
      </w:pPr>
      <w:r w:rsidRPr="00DA72DA">
        <w:rPr>
          <w:rFonts w:cstheme="minorHAnsi"/>
          <w:sz w:val="36"/>
          <w:szCs w:val="36"/>
        </w:rPr>
        <w:t>All'inizio ci sono due stati d'animo soggettivi: da un lato l'odio nei tuoi confronti («Se dunque tu presenti la tua offerta all'altare e lì ti ricordi che tuo fratello ha qualcosa contro di te...» Mt 5, 23), dall'altro la tendenza a voltare le spalle a colui che ti odia. Il comando si innesta in questo plesso di sentimenti ostili e ordina di prestar aiuto a favore di chi ci è avverso. Si tratta di un modo di agire unilaterale che opera contro il proprio sentire e non tiene conto né di quello altrui, né di una possibile futura reazione, simpatetica o antitetica, da parte di chi ci odia.</w:t>
      </w:r>
    </w:p>
    <w:p w14:paraId="4710CB9A" w14:textId="77777777" w:rsidR="00333618" w:rsidRPr="00DA72DA" w:rsidRDefault="00333618" w:rsidP="00CE777F">
      <w:pPr>
        <w:spacing w:after="0" w:line="240" w:lineRule="auto"/>
        <w:jc w:val="center"/>
        <w:rPr>
          <w:smallCaps/>
          <w:sz w:val="36"/>
          <w:szCs w:val="36"/>
          <w14:shadow w14:blurRad="50800" w14:dist="38100" w14:dir="2700000" w14:sx="100000" w14:sy="100000" w14:kx="0" w14:ky="0" w14:algn="tl">
            <w14:srgbClr w14:val="000000">
              <w14:alpha w14:val="60000"/>
            </w14:srgbClr>
          </w14:shadow>
        </w:rPr>
      </w:pPr>
    </w:p>
    <w:p w14:paraId="6E4A7BC1" w14:textId="088ADF9E" w:rsidR="00333618" w:rsidRPr="00DA72DA" w:rsidRDefault="00333618" w:rsidP="00CE777F">
      <w:pPr>
        <w:spacing w:after="0" w:line="240" w:lineRule="auto"/>
        <w:jc w:val="center"/>
        <w:rPr>
          <w:b/>
          <w:bCs/>
          <w:smallCaps/>
          <w:sz w:val="36"/>
          <w:szCs w:val="36"/>
          <w14:shadow w14:blurRad="50800" w14:dist="38100" w14:dir="2700000" w14:sx="100000" w14:sy="100000" w14:kx="0" w14:ky="0" w14:algn="tl">
            <w14:srgbClr w14:val="000000">
              <w14:alpha w14:val="60000"/>
            </w14:srgbClr>
          </w14:shadow>
        </w:rPr>
      </w:pPr>
      <w:r w:rsidRPr="00DA72DA">
        <w:rPr>
          <w:b/>
          <w:bCs/>
          <w:smallCaps/>
          <w:sz w:val="36"/>
          <w:szCs w:val="36"/>
          <w14:shadow w14:blurRad="50800" w14:dist="38100" w14:dir="2700000" w14:sx="100000" w14:sy="100000" w14:kx="0" w14:ky="0" w14:algn="tl">
            <w14:srgbClr w14:val="000000">
              <w14:alpha w14:val="60000"/>
            </w14:srgbClr>
          </w14:shadow>
        </w:rPr>
        <w:t>II. Popolo</w:t>
      </w:r>
    </w:p>
    <w:p w14:paraId="044A99F7" w14:textId="77777777" w:rsidR="00333618" w:rsidRPr="00DA72DA" w:rsidRDefault="00333618" w:rsidP="00CE777F">
      <w:pPr>
        <w:spacing w:after="0" w:line="240" w:lineRule="auto"/>
        <w:rPr>
          <w:rFonts w:cstheme="minorHAnsi"/>
          <w:b/>
          <w:bCs/>
          <w:color w:val="C45911" w:themeColor="accent2" w:themeShade="BF"/>
          <w:sz w:val="36"/>
          <w:szCs w:val="36"/>
        </w:rPr>
      </w:pPr>
    </w:p>
    <w:p w14:paraId="42DE7DD0" w14:textId="515D531E" w:rsidR="00333618" w:rsidRPr="00DA72DA" w:rsidRDefault="00333618" w:rsidP="00CE777F">
      <w:pPr>
        <w:spacing w:after="0" w:line="240" w:lineRule="auto"/>
        <w:rPr>
          <w:b/>
          <w:bCs/>
          <w:smallCaps/>
          <w:sz w:val="36"/>
          <w:szCs w:val="36"/>
          <w14:shadow w14:blurRad="50800" w14:dist="38100" w14:dir="2700000" w14:sx="100000" w14:sy="100000" w14:kx="0" w14:ky="0" w14:algn="tl">
            <w14:srgbClr w14:val="000000">
              <w14:alpha w14:val="60000"/>
            </w14:srgbClr>
          </w14:shadow>
        </w:rPr>
      </w:pPr>
      <w:r w:rsidRPr="00DA72DA">
        <w:rPr>
          <w:rFonts w:cstheme="minorHAnsi"/>
          <w:b/>
          <w:bCs/>
          <w:color w:val="C45911" w:themeColor="accent2" w:themeShade="BF"/>
          <w:sz w:val="36"/>
          <w:szCs w:val="36"/>
        </w:rPr>
        <w:t>1.La popolazione ebraica mondiale</w:t>
      </w:r>
    </w:p>
    <w:p w14:paraId="6C8D6AA7" w14:textId="77777777" w:rsidR="00333618" w:rsidRPr="00DA72DA" w:rsidRDefault="00333618" w:rsidP="00CE777F">
      <w:pPr>
        <w:pStyle w:val="Paragrafoelenco"/>
        <w:spacing w:after="0"/>
        <w:ind w:left="4330"/>
        <w:jc w:val="both"/>
        <w:rPr>
          <w:rFonts w:cstheme="minorHAnsi"/>
          <w:b/>
          <w:bCs/>
          <w:color w:val="C45911" w:themeColor="accent2" w:themeShade="BF"/>
          <w:sz w:val="36"/>
          <w:szCs w:val="36"/>
        </w:rPr>
      </w:pPr>
    </w:p>
    <w:p w14:paraId="08417D8F" w14:textId="77777777" w:rsidR="00333618" w:rsidRPr="00DA72DA" w:rsidRDefault="00333618" w:rsidP="00CE777F">
      <w:pPr>
        <w:spacing w:after="0"/>
        <w:jc w:val="both"/>
        <w:rPr>
          <w:rFonts w:cstheme="minorHAnsi"/>
          <w:color w:val="C45911" w:themeColor="accent2" w:themeShade="BF"/>
          <w:sz w:val="36"/>
          <w:szCs w:val="36"/>
        </w:rPr>
      </w:pPr>
      <w:r w:rsidRPr="00DA72DA">
        <w:rPr>
          <w:rFonts w:cstheme="minorHAnsi"/>
          <w:color w:val="C45911" w:themeColor="accent2" w:themeShade="BF"/>
          <w:sz w:val="36"/>
          <w:szCs w:val="36"/>
        </w:rPr>
        <w:lastRenderedPageBreak/>
        <w:t>Esergo: «</w:t>
      </w:r>
      <w:r w:rsidRPr="00DA72DA">
        <w:rPr>
          <w:rFonts w:cstheme="minorHAnsi"/>
          <w:i/>
          <w:iCs/>
          <w:color w:val="C45911" w:themeColor="accent2" w:themeShade="BF"/>
          <w:sz w:val="36"/>
          <w:szCs w:val="36"/>
        </w:rPr>
        <w:t>Il Signore si è legato a voi e vi ha scelti, non perché siete più numerosi di tutti gli altri popoli – siete infatti il più piccolo di tutti i popoli – ma perché il Signore vi ama e perché ha voluto mantenere il giuramento fatto ai vostri padri…»</w:t>
      </w:r>
      <w:r w:rsidRPr="00DA72DA">
        <w:rPr>
          <w:rFonts w:cstheme="minorHAnsi"/>
          <w:color w:val="C45911" w:themeColor="accent2" w:themeShade="BF"/>
          <w:sz w:val="36"/>
          <w:szCs w:val="36"/>
        </w:rPr>
        <w:t xml:space="preserve"> (Deuteronomio 7,7-8).</w:t>
      </w:r>
    </w:p>
    <w:p w14:paraId="537A9836" w14:textId="77777777" w:rsidR="00333618" w:rsidRPr="00DA72DA" w:rsidRDefault="00333618" w:rsidP="00CE777F">
      <w:pPr>
        <w:spacing w:after="0"/>
        <w:jc w:val="both"/>
        <w:rPr>
          <w:rFonts w:cstheme="minorHAnsi"/>
          <w:b/>
          <w:bCs/>
          <w:color w:val="C45911" w:themeColor="accent2" w:themeShade="BF"/>
          <w:sz w:val="36"/>
          <w:szCs w:val="36"/>
        </w:rPr>
      </w:pPr>
    </w:p>
    <w:p w14:paraId="212E317A" w14:textId="77777777" w:rsidR="00333618" w:rsidRPr="00DA72DA" w:rsidRDefault="00333618" w:rsidP="00CE777F">
      <w:pPr>
        <w:tabs>
          <w:tab w:val="left" w:pos="1701"/>
          <w:tab w:val="left" w:pos="2268"/>
        </w:tabs>
        <w:spacing w:after="0" w:line="360" w:lineRule="auto"/>
        <w:rPr>
          <w:rFonts w:eastAsia="Times New Roman" w:cstheme="minorHAnsi"/>
          <w:color w:val="C45911" w:themeColor="accent2" w:themeShade="BF"/>
          <w:sz w:val="36"/>
          <w:szCs w:val="36"/>
          <w:shd w:val="clear" w:color="auto" w:fill="FFFFFF"/>
          <w:lang w:eastAsia="it-IT"/>
        </w:rPr>
      </w:pPr>
      <w:r w:rsidRPr="00DA72DA">
        <w:rPr>
          <w:rFonts w:eastAsia="Times New Roman" w:cstheme="minorHAnsi"/>
          <w:color w:val="0D0D0D" w:themeColor="text1" w:themeTint="F2"/>
          <w:sz w:val="36"/>
          <w:szCs w:val="36"/>
          <w:shd w:val="clear" w:color="auto" w:fill="FFFFFF"/>
          <w:lang w:eastAsia="it-IT"/>
        </w:rPr>
        <w:t xml:space="preserve">Da </w:t>
      </w:r>
      <w:r w:rsidRPr="00DA72DA">
        <w:rPr>
          <w:rFonts w:eastAsia="Times New Roman" w:cstheme="minorHAnsi"/>
          <w:b/>
          <w:bCs/>
          <w:color w:val="C45911" w:themeColor="accent2" w:themeShade="BF"/>
          <w:sz w:val="36"/>
          <w:szCs w:val="36"/>
          <w:shd w:val="clear" w:color="auto" w:fill="FFFFFF"/>
          <w:lang w:eastAsia="it-IT"/>
        </w:rPr>
        <w:t xml:space="preserve">S. Della Pergola, </w:t>
      </w:r>
      <w:r w:rsidRPr="00DA72DA">
        <w:rPr>
          <w:rFonts w:eastAsia="Times New Roman" w:cstheme="minorHAnsi"/>
          <w:b/>
          <w:bCs/>
          <w:i/>
          <w:iCs/>
          <w:color w:val="C45911" w:themeColor="accent2" w:themeShade="BF"/>
          <w:sz w:val="36"/>
          <w:szCs w:val="36"/>
          <w:shd w:val="clear" w:color="auto" w:fill="FFFFFF"/>
          <w:lang w:eastAsia="it-IT"/>
        </w:rPr>
        <w:t>Essere ebrei oggi</w:t>
      </w:r>
      <w:r w:rsidRPr="00DA72DA">
        <w:rPr>
          <w:rFonts w:eastAsia="Times New Roman" w:cstheme="minorHAnsi"/>
          <w:b/>
          <w:bCs/>
          <w:color w:val="C45911" w:themeColor="accent2" w:themeShade="BF"/>
          <w:sz w:val="36"/>
          <w:szCs w:val="36"/>
          <w:shd w:val="clear" w:color="auto" w:fill="FFFFFF"/>
          <w:lang w:eastAsia="it-IT"/>
        </w:rPr>
        <w:t>, il Mulino, Bologna 2024</w:t>
      </w:r>
    </w:p>
    <w:p w14:paraId="042CD158" w14:textId="77777777" w:rsidR="00333618" w:rsidRPr="00DA72DA" w:rsidRDefault="00333618" w:rsidP="00CE777F">
      <w:pPr>
        <w:pStyle w:val="Paragrafoelenco"/>
        <w:spacing w:after="0"/>
        <w:ind w:left="0"/>
        <w:jc w:val="both"/>
        <w:rPr>
          <w:rFonts w:cstheme="minorHAnsi"/>
          <w:sz w:val="36"/>
          <w:szCs w:val="36"/>
        </w:rPr>
      </w:pPr>
      <w:r w:rsidRPr="00DA72DA">
        <w:rPr>
          <w:rFonts w:cstheme="minorHAnsi"/>
          <w:sz w:val="36"/>
          <w:szCs w:val="36"/>
        </w:rPr>
        <w:t>Alla vigilia della Seconda guerra mondiale, la popolazione ebraica aveva raggiunto il suo massimo storico assoluto 16,5 milioni di persone (p. 35).</w:t>
      </w:r>
    </w:p>
    <w:p w14:paraId="4667BD0A" w14:textId="77777777" w:rsidR="00333618" w:rsidRPr="00DA72DA" w:rsidRDefault="00333618" w:rsidP="00CE777F">
      <w:pPr>
        <w:pStyle w:val="Paragrafoelenco"/>
        <w:spacing w:after="0"/>
        <w:ind w:left="1778"/>
        <w:jc w:val="both"/>
        <w:rPr>
          <w:rFonts w:cstheme="minorHAnsi"/>
          <w:sz w:val="36"/>
          <w:szCs w:val="36"/>
        </w:rPr>
      </w:pPr>
    </w:p>
    <w:p w14:paraId="14CBF896" w14:textId="77777777" w:rsidR="00333618" w:rsidRPr="00DA72DA" w:rsidRDefault="00333618" w:rsidP="00CE777F">
      <w:pPr>
        <w:pStyle w:val="Paragrafoelenco"/>
        <w:spacing w:after="0"/>
        <w:ind w:left="0"/>
        <w:jc w:val="both"/>
        <w:rPr>
          <w:rFonts w:cstheme="minorHAnsi"/>
          <w:sz w:val="36"/>
          <w:szCs w:val="36"/>
        </w:rPr>
      </w:pPr>
      <w:r w:rsidRPr="00DA72DA">
        <w:rPr>
          <w:rFonts w:cstheme="minorHAnsi"/>
          <w:sz w:val="36"/>
          <w:szCs w:val="36"/>
        </w:rPr>
        <w:t>Lo sterminio di quasi sei milioni di ebrei durante la Seconda guerra mondiale ha significato la perdita del 36% della popolazione ebraica mondiale e di oltre il 60% dell’ebraismo europeo, oltre alla distruzione quasi totale delle grandi comunità ebraiche dell’Europe centro-orientale che avevano costituito la spina dorsale della precedente crescita demografica ebraica (p.38).</w:t>
      </w:r>
    </w:p>
    <w:p w14:paraId="700C3EB3" w14:textId="77777777" w:rsidR="00333618" w:rsidRPr="00DA72DA" w:rsidRDefault="00333618" w:rsidP="00CE777F">
      <w:pPr>
        <w:pStyle w:val="Paragrafoelenco"/>
        <w:spacing w:after="0"/>
        <w:ind w:left="1778"/>
        <w:jc w:val="both"/>
        <w:rPr>
          <w:rFonts w:cstheme="minorHAnsi"/>
          <w:sz w:val="36"/>
          <w:szCs w:val="36"/>
        </w:rPr>
      </w:pPr>
    </w:p>
    <w:p w14:paraId="20CE3950" w14:textId="77777777" w:rsidR="00333618" w:rsidRPr="00DA72DA" w:rsidRDefault="00333618" w:rsidP="00CE777F">
      <w:pPr>
        <w:pStyle w:val="Paragrafoelenco"/>
        <w:spacing w:after="0"/>
        <w:ind w:left="0"/>
        <w:jc w:val="both"/>
        <w:rPr>
          <w:rFonts w:cstheme="minorHAnsi"/>
          <w:sz w:val="36"/>
          <w:szCs w:val="36"/>
        </w:rPr>
      </w:pPr>
      <w:r w:rsidRPr="00DA72DA">
        <w:rPr>
          <w:rFonts w:cstheme="minorHAnsi"/>
          <w:sz w:val="36"/>
          <w:szCs w:val="36"/>
        </w:rPr>
        <w:t xml:space="preserve">Nel 2023 la popolazione ebraica mondiale ha raggiunto i 15,7 milioni. In questa crescita sono presenti due tendenze demografiche molto diverse: mentre la popolazione ebraica israeliana è aumentata linearmente, dal mezzo milione iniziale del 1945 ai 7,1 del 2023, contando anche gli oltre 3,5 milioni di persone immigrate nel paese, la Diaspora ebraica è rimasta stabile dal 1945 fino ai primi anni Settanta (10,5 di individui), per poi diminuire fino a raggiungere nel 2023 la cifra di 8,6 milioni. Va tenuto conto che la popolazione totale del mondo nello stesso periodo è più che </w:t>
      </w:r>
      <w:r w:rsidRPr="00DA72DA">
        <w:rPr>
          <w:rFonts w:cstheme="minorHAnsi"/>
          <w:sz w:val="36"/>
          <w:szCs w:val="36"/>
        </w:rPr>
        <w:lastRenderedPageBreak/>
        <w:t>triplicata, passando da 2,315 miliardi nel 1945 a oltre 8 miliardi nel 2023. Pertanto la quota di ebrei sulla popolazione totale del mondo è diminuita costantemente, passando dal 4,75 per mille a 1,97 per mille nel 2023 (pp. 39-40)</w:t>
      </w:r>
    </w:p>
    <w:p w14:paraId="22797546" w14:textId="77777777" w:rsidR="00333618" w:rsidRPr="00DA72DA" w:rsidRDefault="00333618" w:rsidP="00CE777F">
      <w:pPr>
        <w:pStyle w:val="Paragrafoelenco"/>
        <w:spacing w:after="0"/>
        <w:ind w:left="1778"/>
        <w:jc w:val="both"/>
        <w:rPr>
          <w:rFonts w:cstheme="minorHAnsi"/>
          <w:sz w:val="36"/>
          <w:szCs w:val="36"/>
        </w:rPr>
      </w:pPr>
    </w:p>
    <w:p w14:paraId="2894D5A6" w14:textId="77777777" w:rsidR="00333618" w:rsidRPr="00DA72DA" w:rsidRDefault="00333618" w:rsidP="00CE777F">
      <w:pPr>
        <w:pStyle w:val="Paragrafoelenco"/>
        <w:spacing w:after="0"/>
        <w:ind w:left="142"/>
        <w:jc w:val="both"/>
        <w:rPr>
          <w:rFonts w:cstheme="minorHAnsi"/>
          <w:sz w:val="36"/>
          <w:szCs w:val="36"/>
        </w:rPr>
      </w:pPr>
      <w:r w:rsidRPr="00DA72DA">
        <w:rPr>
          <w:rFonts w:cstheme="minorHAnsi"/>
          <w:sz w:val="36"/>
          <w:szCs w:val="36"/>
        </w:rPr>
        <w:t>Nel 2023 due paesi – Israele e gli Stati Uniti -accoglievano oltre 85% del totale degli ebrei, contro il 63% del 1970; nello stesso anno altri 23 paesi, ciascuno con più di 10.000 ebrei, ne comprendeva un altro 14 %, mentre in altri 80, ciascuno con una popolazione ebraica inferiore i 10.000 persone, risiedeva il restante 1% (p. 40).</w:t>
      </w:r>
    </w:p>
    <w:p w14:paraId="70D50543" w14:textId="77777777" w:rsidR="00333618" w:rsidRPr="00DA72DA" w:rsidRDefault="00333618" w:rsidP="00CE777F">
      <w:pPr>
        <w:pStyle w:val="Paragrafoelenco"/>
        <w:spacing w:after="0"/>
        <w:ind w:left="142"/>
        <w:jc w:val="both"/>
        <w:rPr>
          <w:rFonts w:cstheme="minorHAnsi"/>
          <w:sz w:val="36"/>
          <w:szCs w:val="36"/>
        </w:rPr>
      </w:pPr>
    </w:p>
    <w:p w14:paraId="3737D1E1" w14:textId="77777777" w:rsidR="00333618" w:rsidRPr="00DA72DA" w:rsidRDefault="00333618" w:rsidP="00CE777F">
      <w:pPr>
        <w:pStyle w:val="Paragrafoelenco"/>
        <w:spacing w:after="0"/>
        <w:ind w:left="142"/>
        <w:jc w:val="both"/>
        <w:rPr>
          <w:rFonts w:cstheme="minorHAnsi"/>
          <w:sz w:val="36"/>
          <w:szCs w:val="36"/>
        </w:rPr>
      </w:pPr>
      <w:r w:rsidRPr="00DA72DA">
        <w:rPr>
          <w:rFonts w:cstheme="minorHAnsi"/>
          <w:sz w:val="36"/>
          <w:szCs w:val="36"/>
        </w:rPr>
        <w:t>Il 96% [della popolazione ebraica vive in regioni geoculturali che, comprendono i paesi più sviluppati con meno del 10% della popolazione globale, e il 4% vive in aree geoculturali costituiti da paesi meno o molto meno sviluppati che comprendono il 90% della popolazione mondiale (pp.47-48)</w:t>
      </w:r>
    </w:p>
    <w:p w14:paraId="737B65FF" w14:textId="77777777" w:rsidR="00333618" w:rsidRPr="00DA72DA" w:rsidRDefault="00333618" w:rsidP="00CE777F">
      <w:pPr>
        <w:spacing w:after="0" w:line="240" w:lineRule="auto"/>
        <w:jc w:val="center"/>
        <w:rPr>
          <w:rStyle w:val="Enfasigrassetto"/>
          <w:sz w:val="36"/>
          <w:szCs w:val="36"/>
          <w:shd w:val="clear" w:color="auto" w:fill="FFFFFF"/>
        </w:rPr>
      </w:pPr>
    </w:p>
    <w:p w14:paraId="6004EFDB" w14:textId="77777777" w:rsidR="00333618" w:rsidRPr="00DA72DA" w:rsidRDefault="00333618" w:rsidP="00CE777F">
      <w:pPr>
        <w:spacing w:after="0" w:line="240" w:lineRule="auto"/>
        <w:jc w:val="center"/>
        <w:rPr>
          <w:rStyle w:val="Enfasigrassetto"/>
          <w:rFonts w:cstheme="minorHAnsi"/>
          <w:sz w:val="36"/>
          <w:szCs w:val="36"/>
          <w:shd w:val="clear" w:color="auto" w:fill="FFFFFF"/>
        </w:rPr>
      </w:pPr>
    </w:p>
    <w:p w14:paraId="38728717" w14:textId="77777777" w:rsidR="00333618" w:rsidRPr="00DA72DA" w:rsidRDefault="00333618" w:rsidP="00CE777F">
      <w:pPr>
        <w:spacing w:after="0" w:line="240" w:lineRule="auto"/>
        <w:jc w:val="center"/>
        <w:rPr>
          <w:rStyle w:val="Enfasigrassetto"/>
          <w:rFonts w:cstheme="minorHAnsi"/>
          <w:sz w:val="36"/>
          <w:szCs w:val="36"/>
          <w:shd w:val="clear" w:color="auto" w:fill="FFFFFF"/>
        </w:rPr>
      </w:pPr>
    </w:p>
    <w:p w14:paraId="1CB551BA" w14:textId="77777777" w:rsidR="00333618" w:rsidRPr="00DA72DA" w:rsidRDefault="00333618" w:rsidP="00CE777F">
      <w:pPr>
        <w:spacing w:after="0" w:line="240" w:lineRule="auto"/>
        <w:jc w:val="center"/>
        <w:rPr>
          <w:rStyle w:val="Enfasigrassetto"/>
          <w:rFonts w:cstheme="minorHAnsi"/>
          <w:sz w:val="36"/>
          <w:szCs w:val="36"/>
          <w:shd w:val="clear" w:color="auto" w:fill="FFFFFF"/>
        </w:rPr>
      </w:pPr>
    </w:p>
    <w:p w14:paraId="730D1446" w14:textId="77777777" w:rsidR="00333618" w:rsidRPr="00DA72DA" w:rsidRDefault="00333618" w:rsidP="00CE777F">
      <w:pPr>
        <w:spacing w:after="0" w:line="240" w:lineRule="auto"/>
        <w:jc w:val="center"/>
        <w:rPr>
          <w:rStyle w:val="Enfasigrassetto"/>
          <w:rFonts w:cstheme="minorHAnsi"/>
          <w:smallCaps/>
          <w:sz w:val="36"/>
          <w:szCs w:val="36"/>
          <w:shd w:val="clear" w:color="auto" w:fill="FFFFFF"/>
        </w:rPr>
      </w:pPr>
      <w:r w:rsidRPr="00DA72DA">
        <w:rPr>
          <w:rStyle w:val="Enfasigrassetto"/>
          <w:rFonts w:cstheme="minorHAnsi"/>
          <w:sz w:val="36"/>
          <w:szCs w:val="36"/>
          <w:shd w:val="clear" w:color="auto" w:fill="FFFFFF"/>
        </w:rPr>
        <w:t>Gli ebrei nel mondo, secondo i più recenti e accurati rilievi (2021), superano di poco i 15 milioni</w:t>
      </w:r>
    </w:p>
    <w:p w14:paraId="57CFBB1D" w14:textId="77777777" w:rsidR="00333618" w:rsidRPr="00DA72DA" w:rsidRDefault="00333618" w:rsidP="00CE777F">
      <w:pPr>
        <w:spacing w:after="0"/>
        <w:jc w:val="center"/>
        <w:rPr>
          <w:sz w:val="36"/>
          <w:szCs w:val="36"/>
        </w:rPr>
      </w:pPr>
      <w:r w:rsidRPr="00DA72DA">
        <w:rPr>
          <w:rStyle w:val="Enfasigrassetto"/>
          <w:rFonts w:cstheme="minorHAnsi"/>
          <w:sz w:val="36"/>
          <w:szCs w:val="36"/>
          <w:shd w:val="clear" w:color="auto" w:fill="FFFFFF"/>
        </w:rPr>
        <w:t xml:space="preserve">Fonte </w:t>
      </w:r>
      <w:r w:rsidRPr="00DA72DA">
        <w:rPr>
          <w:rStyle w:val="Enfasigrassetto"/>
          <w:rFonts w:cstheme="minorHAnsi"/>
          <w:i/>
          <w:iCs/>
          <w:sz w:val="36"/>
          <w:szCs w:val="36"/>
          <w:shd w:val="clear" w:color="auto" w:fill="FFFFFF"/>
        </w:rPr>
        <w:t xml:space="preserve">Limes </w:t>
      </w:r>
      <w:r w:rsidRPr="00DA72DA">
        <w:rPr>
          <w:rStyle w:val="Enfasigrassetto"/>
          <w:rFonts w:cstheme="minorHAnsi"/>
          <w:sz w:val="36"/>
          <w:szCs w:val="36"/>
          <w:shd w:val="clear" w:color="auto" w:fill="FFFFFF"/>
        </w:rPr>
        <w:t>(Livi Bacci)</w:t>
      </w:r>
    </w:p>
    <w:p w14:paraId="574A20C6" w14:textId="77777777" w:rsidR="00333618" w:rsidRPr="00DA72DA" w:rsidRDefault="00333618" w:rsidP="00CE777F">
      <w:pPr>
        <w:spacing w:after="0" w:line="240" w:lineRule="auto"/>
        <w:jc w:val="center"/>
        <w:rPr>
          <w:rFonts w:cstheme="minorHAnsi"/>
          <w:b/>
          <w:color w:val="FF0000"/>
          <w:sz w:val="36"/>
          <w:szCs w:val="36"/>
        </w:rPr>
      </w:pPr>
    </w:p>
    <w:p w14:paraId="51D83295" w14:textId="0688F814" w:rsidR="00333618" w:rsidRPr="00DA72DA" w:rsidRDefault="00333618" w:rsidP="00CE777F">
      <w:pPr>
        <w:spacing w:after="0" w:line="240" w:lineRule="auto"/>
        <w:jc w:val="center"/>
        <w:rPr>
          <w:rFonts w:cstheme="minorHAnsi"/>
          <w:smallCaps/>
          <w:color w:val="2F5496" w:themeColor="accent1" w:themeShade="BF"/>
          <w:sz w:val="36"/>
          <w:szCs w:val="36"/>
        </w:rPr>
      </w:pPr>
      <w:r w:rsidRPr="00DA72DA">
        <w:rPr>
          <w:rFonts w:cstheme="minorHAnsi"/>
          <w:smallCaps/>
          <w:noProof/>
          <w:sz w:val="36"/>
          <w:szCs w:val="36"/>
        </w:rPr>
        <w:lastRenderedPageBreak/>
        <w:drawing>
          <wp:inline distT="0" distB="0" distL="0" distR="0" wp14:anchorId="09B36962" wp14:editId="42EFD9F2">
            <wp:extent cx="8382000" cy="5705475"/>
            <wp:effectExtent l="0" t="0" r="0" b="9525"/>
            <wp:docPr id="1742763382" name="Immagine 1" descr="Carta di Laura Canali -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arta di Laura Canali - 20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0" cy="5705475"/>
                    </a:xfrm>
                    <a:prstGeom prst="rect">
                      <a:avLst/>
                    </a:prstGeom>
                    <a:noFill/>
                    <a:ln>
                      <a:noFill/>
                    </a:ln>
                  </pic:spPr>
                </pic:pic>
              </a:graphicData>
            </a:graphic>
          </wp:inline>
        </w:drawing>
      </w:r>
      <w:r w:rsidRPr="00DA72DA">
        <w:rPr>
          <w:rStyle w:val="Enfasigrassetto"/>
          <w:rFonts w:cstheme="minorHAnsi"/>
          <w:sz w:val="36"/>
          <w:szCs w:val="36"/>
          <w:shd w:val="clear" w:color="auto" w:fill="FFFFFF"/>
        </w:rPr>
        <w:t>)</w:t>
      </w:r>
    </w:p>
    <w:p w14:paraId="6E19521F" w14:textId="77777777" w:rsidR="00333618" w:rsidRPr="00DA72DA" w:rsidRDefault="00333618" w:rsidP="00CE777F">
      <w:pPr>
        <w:spacing w:after="0" w:line="240" w:lineRule="auto"/>
        <w:rPr>
          <w:rFonts w:cstheme="minorHAnsi"/>
          <w:b/>
          <w:color w:val="FF0000"/>
          <w:sz w:val="36"/>
          <w:szCs w:val="36"/>
        </w:rPr>
      </w:pPr>
    </w:p>
    <w:p w14:paraId="5C7060DA" w14:textId="77777777" w:rsidR="00333618" w:rsidRPr="00DA72DA" w:rsidRDefault="00333618" w:rsidP="00CE777F">
      <w:pPr>
        <w:spacing w:after="0" w:line="240" w:lineRule="auto"/>
        <w:rPr>
          <w:rFonts w:cstheme="minorHAnsi"/>
          <w:b/>
          <w:smallCaps/>
          <w:color w:val="C45911" w:themeColor="accent2" w:themeShade="BF"/>
          <w:sz w:val="36"/>
          <w:szCs w:val="36"/>
        </w:rPr>
      </w:pPr>
      <w:r w:rsidRPr="00DA72DA">
        <w:rPr>
          <w:rFonts w:cstheme="minorHAnsi"/>
          <w:b/>
          <w:color w:val="C45911" w:themeColor="accent2" w:themeShade="BF"/>
          <w:sz w:val="36"/>
          <w:szCs w:val="36"/>
        </w:rPr>
        <w:lastRenderedPageBreak/>
        <w:t>Stato d’Israele</w:t>
      </w:r>
    </w:p>
    <w:p w14:paraId="5E40731F" w14:textId="77777777" w:rsidR="00333618" w:rsidRPr="00DA72DA" w:rsidRDefault="00333618" w:rsidP="00CE777F">
      <w:pPr>
        <w:spacing w:after="0" w:line="240" w:lineRule="auto"/>
        <w:rPr>
          <w:rFonts w:cstheme="minorHAnsi"/>
          <w:bCs/>
          <w:smallCaps/>
          <w:color w:val="000000" w:themeColor="text1"/>
          <w:sz w:val="36"/>
          <w:szCs w:val="36"/>
        </w:rPr>
      </w:pPr>
    </w:p>
    <w:p w14:paraId="698D43A0" w14:textId="77777777" w:rsidR="00333618" w:rsidRPr="00DA72DA" w:rsidRDefault="00333618" w:rsidP="00CE777F">
      <w:pPr>
        <w:spacing w:after="0" w:line="240" w:lineRule="auto"/>
        <w:rPr>
          <w:rFonts w:cstheme="minorHAnsi"/>
          <w:bCs/>
          <w:color w:val="000000" w:themeColor="text1"/>
          <w:sz w:val="36"/>
          <w:szCs w:val="36"/>
        </w:rPr>
      </w:pPr>
      <w:r w:rsidRPr="00DA72DA">
        <w:rPr>
          <w:rFonts w:cstheme="minorHAnsi"/>
          <w:bCs/>
          <w:color w:val="000000" w:themeColor="text1"/>
          <w:sz w:val="36"/>
          <w:szCs w:val="36"/>
        </w:rPr>
        <w:t xml:space="preserve">Superficie: 20.325 kmq (il dato non include Striscia di Gaza, West Bank, Alture del Golan e Gerusalemme est). Popolazione: 9,66 mln (dato aggiornato a fine 2022), di cui 74,1% di Ebrei, 21% Arabi, 4,9% altri (include i drusi, i cristiani di origine non araba, ecc.). </w:t>
      </w:r>
    </w:p>
    <w:p w14:paraId="6B684962" w14:textId="77777777" w:rsidR="00333618" w:rsidRPr="00DA72DA" w:rsidRDefault="00333618" w:rsidP="00CE777F">
      <w:pPr>
        <w:spacing w:after="0" w:line="240" w:lineRule="auto"/>
        <w:rPr>
          <w:rFonts w:cstheme="minorHAnsi"/>
          <w:bCs/>
          <w:color w:val="000000" w:themeColor="text1"/>
          <w:sz w:val="36"/>
          <w:szCs w:val="36"/>
        </w:rPr>
      </w:pPr>
      <w:r w:rsidRPr="00DA72DA">
        <w:rPr>
          <w:rFonts w:cstheme="minorHAnsi"/>
          <w:bCs/>
          <w:color w:val="000000" w:themeColor="text1"/>
          <w:sz w:val="36"/>
          <w:szCs w:val="36"/>
        </w:rPr>
        <w:t>Superficie della Sicilia 25.832 km</w:t>
      </w:r>
      <w:r w:rsidRPr="00DA72DA">
        <w:rPr>
          <w:rFonts w:cstheme="minorHAnsi"/>
          <w:bCs/>
          <w:color w:val="000000" w:themeColor="text1"/>
          <w:sz w:val="36"/>
          <w:szCs w:val="36"/>
          <w:vertAlign w:val="superscript"/>
        </w:rPr>
        <w:t>2</w:t>
      </w:r>
      <w:r w:rsidRPr="00DA72DA">
        <w:rPr>
          <w:rFonts w:cstheme="minorHAnsi"/>
          <w:bCs/>
          <w:color w:val="000000" w:themeColor="text1"/>
          <w:sz w:val="36"/>
          <w:szCs w:val="36"/>
        </w:rPr>
        <w:t>, abitanti al 30.11.2024: 4.782,145.</w:t>
      </w:r>
    </w:p>
    <w:p w14:paraId="1AD422E6" w14:textId="77777777" w:rsidR="00333618" w:rsidRPr="00DA72DA" w:rsidRDefault="00333618" w:rsidP="00CE777F">
      <w:pPr>
        <w:spacing w:after="0" w:line="240" w:lineRule="auto"/>
        <w:rPr>
          <w:rFonts w:cstheme="minorHAnsi"/>
          <w:bCs/>
          <w:color w:val="000000" w:themeColor="text1"/>
          <w:sz w:val="36"/>
          <w:szCs w:val="36"/>
        </w:rPr>
      </w:pPr>
      <w:r w:rsidRPr="00DA72DA">
        <w:rPr>
          <w:rFonts w:cstheme="minorHAnsi"/>
          <w:bCs/>
          <w:color w:val="000000" w:themeColor="text1"/>
          <w:sz w:val="36"/>
          <w:szCs w:val="36"/>
        </w:rPr>
        <w:t>Ufficio israeliano di statistica 1.1.2025 la popolazione ha superato i 10 milioni 76,9% ebrei, 21% arabi; 2,1% altri.</w:t>
      </w:r>
    </w:p>
    <w:p w14:paraId="574B936A" w14:textId="77777777" w:rsidR="00333618" w:rsidRPr="00DA72DA" w:rsidRDefault="00333618" w:rsidP="00CE777F">
      <w:pPr>
        <w:spacing w:after="0" w:line="240" w:lineRule="auto"/>
        <w:rPr>
          <w:rFonts w:cstheme="minorHAnsi"/>
          <w:bCs/>
          <w:color w:val="000000" w:themeColor="text1"/>
          <w:sz w:val="36"/>
          <w:szCs w:val="36"/>
        </w:rPr>
      </w:pPr>
      <w:r w:rsidRPr="00DA72DA">
        <w:rPr>
          <w:rFonts w:cstheme="minorHAnsi"/>
          <w:bCs/>
          <w:color w:val="000000" w:themeColor="text1"/>
          <w:sz w:val="36"/>
          <w:szCs w:val="36"/>
        </w:rPr>
        <w:t>Nel 2024 il saldo negativo tra immigrazione e emigrazione da Israele è stato di circa 18.000 persone</w:t>
      </w:r>
    </w:p>
    <w:p w14:paraId="09633CC0" w14:textId="77777777" w:rsidR="00333618" w:rsidRPr="00DA72DA" w:rsidRDefault="00333618" w:rsidP="00CE777F">
      <w:pPr>
        <w:spacing w:after="0" w:line="240" w:lineRule="auto"/>
        <w:rPr>
          <w:rFonts w:cstheme="minorHAnsi"/>
          <w:b/>
          <w:color w:val="FF0000"/>
          <w:sz w:val="36"/>
          <w:szCs w:val="36"/>
        </w:rPr>
      </w:pPr>
    </w:p>
    <w:p w14:paraId="3F1E532A" w14:textId="77777777" w:rsidR="00333618" w:rsidRPr="00DA72DA" w:rsidRDefault="00333618" w:rsidP="00CE777F">
      <w:pPr>
        <w:spacing w:after="0" w:line="240" w:lineRule="auto"/>
        <w:rPr>
          <w:rFonts w:cstheme="minorHAnsi"/>
          <w:b/>
          <w:color w:val="C45911" w:themeColor="accent2" w:themeShade="BF"/>
          <w:sz w:val="36"/>
          <w:szCs w:val="36"/>
        </w:rPr>
      </w:pPr>
      <w:r w:rsidRPr="00DA72DA">
        <w:rPr>
          <w:rFonts w:cstheme="minorHAnsi"/>
          <w:b/>
          <w:color w:val="C45911" w:themeColor="accent2" w:themeShade="BF"/>
          <w:sz w:val="36"/>
          <w:szCs w:val="36"/>
        </w:rPr>
        <w:t>Italia</w:t>
      </w:r>
    </w:p>
    <w:p w14:paraId="09693BB1" w14:textId="77777777" w:rsidR="00333618" w:rsidRPr="00DA72DA" w:rsidRDefault="00333618" w:rsidP="00CE777F">
      <w:pPr>
        <w:spacing w:after="0" w:line="240" w:lineRule="auto"/>
        <w:rPr>
          <w:rFonts w:cstheme="minorHAnsi"/>
          <w:bCs/>
          <w:color w:val="C45911" w:themeColor="accent2" w:themeShade="BF"/>
          <w:sz w:val="36"/>
          <w:szCs w:val="36"/>
        </w:rPr>
      </w:pPr>
      <w:r w:rsidRPr="00DA72DA">
        <w:rPr>
          <w:rFonts w:cstheme="minorHAnsi"/>
          <w:bCs/>
          <w:color w:val="C45911" w:themeColor="accent2" w:themeShade="BF"/>
          <w:sz w:val="36"/>
          <w:szCs w:val="36"/>
        </w:rPr>
        <w:t xml:space="preserve">Raffaella Rumiati.  </w:t>
      </w:r>
      <w:r w:rsidRPr="00DA72DA">
        <w:rPr>
          <w:rFonts w:cstheme="minorHAnsi"/>
          <w:bCs/>
          <w:i/>
          <w:iCs/>
          <w:color w:val="C45911" w:themeColor="accent2" w:themeShade="BF"/>
          <w:sz w:val="36"/>
          <w:szCs w:val="36"/>
        </w:rPr>
        <w:t>Avvenire</w:t>
      </w:r>
      <w:r w:rsidRPr="00DA72DA">
        <w:rPr>
          <w:rFonts w:cstheme="minorHAnsi"/>
          <w:bCs/>
          <w:color w:val="C45911" w:themeColor="accent2" w:themeShade="BF"/>
          <w:sz w:val="36"/>
          <w:szCs w:val="36"/>
        </w:rPr>
        <w:t xml:space="preserve"> 5 dicembre 2023</w:t>
      </w:r>
    </w:p>
    <w:p w14:paraId="2523A914" w14:textId="77777777" w:rsidR="00333618" w:rsidRPr="00DA72DA" w:rsidRDefault="00333618" w:rsidP="00CE777F">
      <w:pPr>
        <w:shd w:val="clear" w:color="auto" w:fill="FFFFFF"/>
        <w:spacing w:after="0" w:line="480" w:lineRule="atLeast"/>
        <w:rPr>
          <w:rFonts w:eastAsia="Times New Roman" w:cstheme="minorHAnsi"/>
          <w:sz w:val="36"/>
          <w:szCs w:val="36"/>
          <w:lang w:eastAsia="it-IT"/>
        </w:rPr>
      </w:pPr>
      <w:r w:rsidRPr="00DA72DA">
        <w:rPr>
          <w:rFonts w:eastAsia="Times New Roman" w:cstheme="minorHAnsi"/>
          <w:sz w:val="36"/>
          <w:szCs w:val="36"/>
          <w:lang w:eastAsia="it-IT"/>
        </w:rPr>
        <w:t xml:space="preserve">Nel corso del telegiornale della sera dello scorso lunedì 20 novembre, Enrico Mentana ha riportato i risultati di una breve indagine condotta da SWG per conto della rete televisiva La7. I sondaggisti hanno raccolto i dati attraverso un questionario somministrato via web tra il 17 e il 20 novembre 2023. Il campione, stratificato per zona con quote per genere ed età, era costituito da 400 soggetti maggiorenni, residenti in Italia, che hanno risposto a una semplice domanda:” Secondo lei, grossomodo quanti sono gli ebrei in Italia?” Le fasce di numerosità erano predeterminate. Il 15% degli intervistati ha risposto più di due milioni. Il 19% tra 1 e 2 milioni. Il </w:t>
      </w:r>
      <w:r w:rsidRPr="00DA72DA">
        <w:rPr>
          <w:rFonts w:eastAsia="Times New Roman" w:cstheme="minorHAnsi"/>
          <w:sz w:val="36"/>
          <w:szCs w:val="36"/>
          <w:lang w:eastAsia="it-IT"/>
        </w:rPr>
        <w:lastRenderedPageBreak/>
        <w:t>30% tra 500mila e 1 milione. Il 9% tra 200mila e 500mila. Il 7% tra 100 e 200mila. L’11% tra 50mila e 100mila. Il 9% meno di 50mila.</w:t>
      </w:r>
    </w:p>
    <w:p w14:paraId="641A2B72" w14:textId="77777777" w:rsidR="00333618" w:rsidRPr="00DA72DA" w:rsidRDefault="00333618" w:rsidP="00CE777F">
      <w:pPr>
        <w:shd w:val="clear" w:color="auto" w:fill="FFFFFF"/>
        <w:spacing w:after="0" w:line="480" w:lineRule="atLeast"/>
        <w:rPr>
          <w:rFonts w:eastAsia="Times New Roman" w:cstheme="minorHAnsi"/>
          <w:sz w:val="36"/>
          <w:szCs w:val="36"/>
          <w:lang w:eastAsia="it-IT"/>
        </w:rPr>
      </w:pPr>
      <w:r w:rsidRPr="00DA72DA">
        <w:rPr>
          <w:rFonts w:eastAsia="Times New Roman" w:cstheme="minorHAnsi"/>
          <w:sz w:val="36"/>
          <w:szCs w:val="36"/>
          <w:lang w:eastAsia="it-IT"/>
        </w:rPr>
        <w:t>Questi risultati sono solo apparentemente sorprendenti. Gli ebrei nel nostro Paese sono 30mila (di cui 25mila sono iscritti alle Comunità), per cui solo il 9 per cento delle persone intervistate ha centrato la risposta corretta. […]</w:t>
      </w:r>
    </w:p>
    <w:p w14:paraId="5B01A3AE" w14:textId="77777777" w:rsidR="00333618" w:rsidRPr="00DA72DA" w:rsidRDefault="00333618" w:rsidP="00CE777F">
      <w:pPr>
        <w:tabs>
          <w:tab w:val="left" w:pos="1701"/>
          <w:tab w:val="left" w:pos="2268"/>
        </w:tabs>
        <w:spacing w:after="0" w:line="360" w:lineRule="auto"/>
        <w:rPr>
          <w:rFonts w:eastAsia="Times New Roman" w:cstheme="minorHAnsi"/>
          <w:b/>
          <w:bCs/>
          <w:color w:val="C45911" w:themeColor="accent2" w:themeShade="BF"/>
          <w:sz w:val="36"/>
          <w:szCs w:val="36"/>
          <w:shd w:val="clear" w:color="auto" w:fill="FFFFFF"/>
          <w:lang w:eastAsia="it-IT"/>
        </w:rPr>
      </w:pPr>
    </w:p>
    <w:p w14:paraId="68F1404C" w14:textId="77777777" w:rsidR="00333618" w:rsidRPr="00DA72DA" w:rsidRDefault="00333618" w:rsidP="00CE777F">
      <w:pPr>
        <w:tabs>
          <w:tab w:val="left" w:pos="1701"/>
          <w:tab w:val="left" w:pos="2268"/>
        </w:tabs>
        <w:spacing w:after="0" w:line="360" w:lineRule="auto"/>
        <w:jc w:val="both"/>
        <w:rPr>
          <w:rFonts w:eastAsia="Times New Roman" w:cstheme="minorHAnsi"/>
          <w:sz w:val="36"/>
          <w:szCs w:val="36"/>
          <w:shd w:val="clear" w:color="auto" w:fill="FFFFFF"/>
          <w:lang w:eastAsia="it-IT"/>
        </w:rPr>
      </w:pPr>
      <w:r w:rsidRPr="00DA72DA">
        <w:rPr>
          <w:rFonts w:eastAsia="Times New Roman" w:cstheme="minorHAnsi"/>
          <w:sz w:val="36"/>
          <w:szCs w:val="36"/>
          <w:shd w:val="clear" w:color="auto" w:fill="FFFFFF"/>
          <w:lang w:eastAsia="it-IT"/>
        </w:rPr>
        <w:t xml:space="preserve">Nel </w:t>
      </w:r>
      <w:r w:rsidRPr="00DA72DA">
        <w:rPr>
          <w:rFonts w:eastAsia="Times New Roman" w:cstheme="minorHAnsi"/>
          <w:b/>
          <w:bCs/>
          <w:sz w:val="36"/>
          <w:szCs w:val="36"/>
          <w:shd w:val="clear" w:color="auto" w:fill="FFFFFF"/>
          <w:lang w:eastAsia="it-IT"/>
        </w:rPr>
        <w:t>1964</w:t>
      </w:r>
      <w:r w:rsidRPr="00DA72DA">
        <w:rPr>
          <w:rFonts w:eastAsia="Times New Roman" w:cstheme="minorHAnsi"/>
          <w:sz w:val="36"/>
          <w:szCs w:val="36"/>
          <w:shd w:val="clear" w:color="auto" w:fill="FFFFFF"/>
          <w:lang w:eastAsia="it-IT"/>
        </w:rPr>
        <w:t xml:space="preserve"> gli iscritti complessive alle comunità ebraiche (allora chiamate israelitiche) in Italia erano </w:t>
      </w:r>
      <w:r w:rsidRPr="00DA72DA">
        <w:rPr>
          <w:rFonts w:eastAsia="Times New Roman" w:cstheme="minorHAnsi"/>
          <w:b/>
          <w:bCs/>
          <w:sz w:val="36"/>
          <w:szCs w:val="36"/>
          <w:shd w:val="clear" w:color="auto" w:fill="FFFFFF"/>
          <w:lang w:eastAsia="it-IT"/>
        </w:rPr>
        <w:t>29.184</w:t>
      </w:r>
      <w:r w:rsidRPr="00DA72DA">
        <w:rPr>
          <w:rFonts w:eastAsia="Times New Roman" w:cstheme="minorHAnsi"/>
          <w:sz w:val="36"/>
          <w:szCs w:val="36"/>
          <w:shd w:val="clear" w:color="auto" w:fill="FFFFFF"/>
          <w:lang w:eastAsia="it-IT"/>
        </w:rPr>
        <w:t xml:space="preserve"> mentre nel </w:t>
      </w:r>
      <w:r w:rsidRPr="00DA72DA">
        <w:rPr>
          <w:rFonts w:eastAsia="Times New Roman" w:cstheme="minorHAnsi"/>
          <w:b/>
          <w:bCs/>
          <w:sz w:val="36"/>
          <w:szCs w:val="36"/>
          <w:shd w:val="clear" w:color="auto" w:fill="FFFFFF"/>
          <w:lang w:eastAsia="it-IT"/>
        </w:rPr>
        <w:t>2022</w:t>
      </w:r>
      <w:r w:rsidRPr="00DA72DA">
        <w:rPr>
          <w:rFonts w:eastAsia="Times New Roman" w:cstheme="minorHAnsi"/>
          <w:sz w:val="36"/>
          <w:szCs w:val="36"/>
          <w:shd w:val="clear" w:color="auto" w:fill="FFFFFF"/>
          <w:lang w:eastAsia="it-IT"/>
        </w:rPr>
        <w:t xml:space="preserve"> erano </w:t>
      </w:r>
      <w:r w:rsidRPr="00DA72DA">
        <w:rPr>
          <w:rFonts w:eastAsia="Times New Roman" w:cstheme="minorHAnsi"/>
          <w:b/>
          <w:bCs/>
          <w:sz w:val="36"/>
          <w:szCs w:val="36"/>
          <w:shd w:val="clear" w:color="auto" w:fill="FFFFFF"/>
          <w:lang w:eastAsia="it-IT"/>
        </w:rPr>
        <w:t>21.982</w:t>
      </w:r>
      <w:r w:rsidRPr="00DA72DA">
        <w:rPr>
          <w:rFonts w:eastAsia="Times New Roman" w:cstheme="minorHAnsi"/>
          <w:sz w:val="36"/>
          <w:szCs w:val="36"/>
          <w:shd w:val="clear" w:color="auto" w:fill="FFFFFF"/>
          <w:lang w:eastAsia="it-IT"/>
        </w:rPr>
        <w:t xml:space="preserve"> «con un calo percentuale del 25%. Non tutti gli ebrei risultano membri di una comunità organizzata, ma tuttavia la grande maggioranza lo è»</w:t>
      </w:r>
    </w:p>
    <w:p w14:paraId="0A3C87A4" w14:textId="77777777" w:rsidR="00333618" w:rsidRPr="00DA72DA" w:rsidRDefault="00333618" w:rsidP="00CE777F">
      <w:pPr>
        <w:tabs>
          <w:tab w:val="left" w:pos="1701"/>
          <w:tab w:val="left" w:pos="2268"/>
        </w:tabs>
        <w:spacing w:after="0" w:line="360" w:lineRule="auto"/>
        <w:rPr>
          <w:rFonts w:eastAsia="Times New Roman" w:cstheme="minorHAnsi"/>
          <w:b/>
          <w:bCs/>
          <w:color w:val="C45911" w:themeColor="accent2" w:themeShade="BF"/>
          <w:sz w:val="36"/>
          <w:szCs w:val="36"/>
          <w:shd w:val="clear" w:color="auto" w:fill="FFFFFF"/>
          <w:lang w:eastAsia="it-IT"/>
        </w:rPr>
      </w:pPr>
    </w:p>
    <w:p w14:paraId="4F2C64DC" w14:textId="77777777" w:rsidR="00333618" w:rsidRPr="00DA72DA" w:rsidRDefault="00333618" w:rsidP="00CE777F">
      <w:pPr>
        <w:tabs>
          <w:tab w:val="left" w:pos="1701"/>
          <w:tab w:val="left" w:pos="2268"/>
        </w:tabs>
        <w:spacing w:after="0" w:line="360" w:lineRule="auto"/>
        <w:rPr>
          <w:rFonts w:eastAsia="Times New Roman" w:cstheme="minorHAnsi"/>
          <w:b/>
          <w:bCs/>
          <w:color w:val="C45911" w:themeColor="accent2" w:themeShade="BF"/>
          <w:sz w:val="36"/>
          <w:szCs w:val="36"/>
          <w:shd w:val="clear" w:color="auto" w:fill="FFFFFF"/>
          <w:lang w:eastAsia="it-IT"/>
        </w:rPr>
      </w:pPr>
      <w:r w:rsidRPr="00DA72DA">
        <w:rPr>
          <w:rFonts w:eastAsia="Times New Roman" w:cstheme="minorHAnsi"/>
          <w:b/>
          <w:bCs/>
          <w:color w:val="C45911" w:themeColor="accent2" w:themeShade="BF"/>
          <w:sz w:val="36"/>
          <w:szCs w:val="36"/>
          <w:shd w:val="clear" w:color="auto" w:fill="FFFFFF"/>
          <w:lang w:eastAsia="it-IT"/>
        </w:rPr>
        <w:t>1964                                   2022</w:t>
      </w:r>
    </w:p>
    <w:p w14:paraId="7526344B" w14:textId="77777777" w:rsidR="00333618" w:rsidRPr="00DA72DA" w:rsidRDefault="00333618" w:rsidP="00CE777F">
      <w:pPr>
        <w:tabs>
          <w:tab w:val="left" w:pos="1701"/>
          <w:tab w:val="left" w:pos="2268"/>
        </w:tabs>
        <w:spacing w:after="0" w:line="360" w:lineRule="auto"/>
        <w:rPr>
          <w:rFonts w:eastAsia="Times New Roman" w:cstheme="minorHAnsi"/>
          <w:b/>
          <w:bCs/>
          <w:color w:val="C45911" w:themeColor="accent2" w:themeShade="BF"/>
          <w:sz w:val="36"/>
          <w:szCs w:val="36"/>
          <w:shd w:val="clear" w:color="auto" w:fill="FFFFFF"/>
          <w:lang w:eastAsia="it-IT"/>
        </w:rPr>
      </w:pPr>
      <w:r w:rsidRPr="00DA72DA">
        <w:rPr>
          <w:rFonts w:eastAsia="Times New Roman" w:cstheme="minorHAnsi"/>
          <w:b/>
          <w:bCs/>
          <w:color w:val="C45911" w:themeColor="accent2" w:themeShade="BF"/>
          <w:sz w:val="36"/>
          <w:szCs w:val="36"/>
          <w:shd w:val="clear" w:color="auto" w:fill="FFFFFF"/>
          <w:lang w:eastAsia="it-IT"/>
        </w:rPr>
        <w:t>Roma</w:t>
      </w:r>
    </w:p>
    <w:p w14:paraId="55B1226C" w14:textId="77777777" w:rsidR="00333618" w:rsidRPr="00DA72DA" w:rsidRDefault="00333618" w:rsidP="00CE777F">
      <w:pPr>
        <w:tabs>
          <w:tab w:val="left" w:pos="1701"/>
          <w:tab w:val="left" w:pos="2268"/>
        </w:tabs>
        <w:spacing w:after="0" w:line="360" w:lineRule="auto"/>
        <w:rPr>
          <w:rFonts w:eastAsia="Times New Roman" w:cstheme="minorHAnsi"/>
          <w:b/>
          <w:bCs/>
          <w:sz w:val="36"/>
          <w:szCs w:val="36"/>
          <w:shd w:val="clear" w:color="auto" w:fill="FFFFFF"/>
          <w:lang w:eastAsia="it-IT"/>
        </w:rPr>
      </w:pPr>
      <w:r w:rsidRPr="00DA72DA">
        <w:rPr>
          <w:rFonts w:eastAsia="Times New Roman" w:cstheme="minorHAnsi"/>
          <w:b/>
          <w:bCs/>
          <w:sz w:val="36"/>
          <w:szCs w:val="36"/>
          <w:shd w:val="clear" w:color="auto" w:fill="FFFFFF"/>
          <w:lang w:eastAsia="it-IT"/>
        </w:rPr>
        <w:t>11.682                              12.504    + 7%</w:t>
      </w:r>
    </w:p>
    <w:p w14:paraId="078268C6" w14:textId="77777777" w:rsidR="00333618" w:rsidRPr="00DA72DA" w:rsidRDefault="00333618" w:rsidP="00CE777F">
      <w:pPr>
        <w:tabs>
          <w:tab w:val="left" w:pos="1701"/>
          <w:tab w:val="left" w:pos="2268"/>
        </w:tabs>
        <w:spacing w:after="0" w:line="360" w:lineRule="auto"/>
        <w:rPr>
          <w:rFonts w:eastAsia="Times New Roman" w:cstheme="minorHAnsi"/>
          <w:b/>
          <w:bCs/>
          <w:color w:val="C45911" w:themeColor="accent2" w:themeShade="BF"/>
          <w:sz w:val="36"/>
          <w:szCs w:val="36"/>
          <w:shd w:val="clear" w:color="auto" w:fill="FFFFFF"/>
          <w:lang w:eastAsia="it-IT"/>
        </w:rPr>
      </w:pPr>
    </w:p>
    <w:p w14:paraId="30FA17BF" w14:textId="77777777" w:rsidR="00333618" w:rsidRPr="00DA72DA" w:rsidRDefault="00333618" w:rsidP="00CE777F">
      <w:pPr>
        <w:tabs>
          <w:tab w:val="left" w:pos="1701"/>
          <w:tab w:val="left" w:pos="2268"/>
        </w:tabs>
        <w:spacing w:after="0" w:line="360" w:lineRule="auto"/>
        <w:rPr>
          <w:rFonts w:eastAsia="Times New Roman" w:cstheme="minorHAnsi"/>
          <w:b/>
          <w:bCs/>
          <w:color w:val="C45911" w:themeColor="accent2" w:themeShade="BF"/>
          <w:sz w:val="36"/>
          <w:szCs w:val="36"/>
          <w:shd w:val="clear" w:color="auto" w:fill="FFFFFF"/>
          <w:lang w:eastAsia="it-IT"/>
        </w:rPr>
      </w:pPr>
      <w:r w:rsidRPr="00DA72DA">
        <w:rPr>
          <w:rFonts w:eastAsia="Times New Roman" w:cstheme="minorHAnsi"/>
          <w:b/>
          <w:bCs/>
          <w:color w:val="C45911" w:themeColor="accent2" w:themeShade="BF"/>
          <w:sz w:val="36"/>
          <w:szCs w:val="36"/>
          <w:shd w:val="clear" w:color="auto" w:fill="FFFFFF"/>
          <w:lang w:eastAsia="it-IT"/>
        </w:rPr>
        <w:t>Milano</w:t>
      </w:r>
    </w:p>
    <w:p w14:paraId="056DCD7C" w14:textId="77777777" w:rsidR="00333618" w:rsidRPr="00DA72DA" w:rsidRDefault="00333618" w:rsidP="00CE777F">
      <w:pPr>
        <w:tabs>
          <w:tab w:val="left" w:pos="1701"/>
          <w:tab w:val="left" w:pos="2268"/>
        </w:tabs>
        <w:spacing w:after="0" w:line="360" w:lineRule="auto"/>
        <w:rPr>
          <w:rFonts w:eastAsia="Times New Roman" w:cstheme="minorHAnsi"/>
          <w:b/>
          <w:bCs/>
          <w:color w:val="000000" w:themeColor="text1"/>
          <w:sz w:val="36"/>
          <w:szCs w:val="36"/>
          <w:shd w:val="clear" w:color="auto" w:fill="FFFFFF"/>
          <w:lang w:eastAsia="it-IT"/>
        </w:rPr>
      </w:pPr>
      <w:r w:rsidRPr="00DA72DA">
        <w:rPr>
          <w:rFonts w:eastAsia="Times New Roman" w:cstheme="minorHAnsi"/>
          <w:b/>
          <w:bCs/>
          <w:color w:val="000000" w:themeColor="text1"/>
          <w:sz w:val="36"/>
          <w:szCs w:val="36"/>
          <w:shd w:val="clear" w:color="auto" w:fill="FFFFFF"/>
          <w:lang w:eastAsia="it-IT"/>
        </w:rPr>
        <w:t xml:space="preserve">8.102                                  5.006       - 38%   </w:t>
      </w:r>
    </w:p>
    <w:p w14:paraId="6070D261" w14:textId="77777777" w:rsidR="00333618" w:rsidRPr="00DA72DA" w:rsidRDefault="00333618" w:rsidP="00CE777F">
      <w:pPr>
        <w:tabs>
          <w:tab w:val="left" w:pos="1701"/>
          <w:tab w:val="left" w:pos="2268"/>
        </w:tabs>
        <w:spacing w:after="0" w:line="360" w:lineRule="auto"/>
        <w:rPr>
          <w:rFonts w:eastAsia="Times New Roman" w:cstheme="minorHAnsi"/>
          <w:b/>
          <w:bCs/>
          <w:color w:val="C45911" w:themeColor="accent2" w:themeShade="BF"/>
          <w:sz w:val="36"/>
          <w:szCs w:val="36"/>
          <w:shd w:val="clear" w:color="auto" w:fill="FFFFFF"/>
          <w:lang w:eastAsia="it-IT"/>
        </w:rPr>
      </w:pPr>
      <w:r w:rsidRPr="00DA72DA">
        <w:rPr>
          <w:rFonts w:eastAsia="Times New Roman" w:cstheme="minorHAnsi"/>
          <w:b/>
          <w:bCs/>
          <w:color w:val="C45911" w:themeColor="accent2" w:themeShade="BF"/>
          <w:sz w:val="36"/>
          <w:szCs w:val="36"/>
          <w:shd w:val="clear" w:color="auto" w:fill="FFFFFF"/>
          <w:lang w:eastAsia="it-IT"/>
        </w:rPr>
        <w:lastRenderedPageBreak/>
        <w:t>Altre comunità</w:t>
      </w:r>
    </w:p>
    <w:p w14:paraId="6343C640" w14:textId="77777777" w:rsidR="00333618" w:rsidRPr="00DA72DA" w:rsidRDefault="00333618" w:rsidP="00CE777F">
      <w:pPr>
        <w:tabs>
          <w:tab w:val="left" w:pos="1701"/>
          <w:tab w:val="left" w:pos="2268"/>
        </w:tabs>
        <w:spacing w:after="0" w:line="360" w:lineRule="auto"/>
        <w:rPr>
          <w:rFonts w:eastAsia="Times New Roman" w:cstheme="minorHAnsi"/>
          <w:b/>
          <w:bCs/>
          <w:color w:val="0D0D0D" w:themeColor="text1" w:themeTint="F2"/>
          <w:sz w:val="36"/>
          <w:szCs w:val="36"/>
          <w:shd w:val="clear" w:color="auto" w:fill="FFFFFF"/>
          <w:lang w:eastAsia="it-IT"/>
        </w:rPr>
      </w:pPr>
      <w:r w:rsidRPr="00DA72DA">
        <w:rPr>
          <w:rFonts w:eastAsia="Times New Roman" w:cstheme="minorHAnsi"/>
          <w:b/>
          <w:bCs/>
          <w:color w:val="0D0D0D" w:themeColor="text1" w:themeTint="F2"/>
          <w:sz w:val="36"/>
          <w:szCs w:val="36"/>
          <w:shd w:val="clear" w:color="auto" w:fill="FFFFFF"/>
          <w:lang w:eastAsia="it-IT"/>
        </w:rPr>
        <w:t xml:space="preserve">9.400                                  4.472         - 52%        </w:t>
      </w:r>
    </w:p>
    <w:p w14:paraId="3A197E7C" w14:textId="77777777" w:rsidR="00333618" w:rsidRPr="00DA72DA" w:rsidRDefault="00333618" w:rsidP="00CE777F">
      <w:pPr>
        <w:tabs>
          <w:tab w:val="left" w:pos="1701"/>
          <w:tab w:val="left" w:pos="2268"/>
        </w:tabs>
        <w:spacing w:after="0" w:line="360" w:lineRule="auto"/>
        <w:rPr>
          <w:rFonts w:eastAsia="Times New Roman" w:cstheme="minorHAnsi"/>
          <w:b/>
          <w:bCs/>
          <w:color w:val="000000" w:themeColor="text1"/>
          <w:sz w:val="36"/>
          <w:szCs w:val="36"/>
          <w:shd w:val="clear" w:color="auto" w:fill="FFFFFF"/>
          <w:lang w:eastAsia="it-IT"/>
        </w:rPr>
      </w:pPr>
      <w:r w:rsidRPr="00DA72DA">
        <w:rPr>
          <w:rFonts w:eastAsia="Times New Roman" w:cstheme="minorHAnsi"/>
          <w:b/>
          <w:bCs/>
          <w:color w:val="000000" w:themeColor="text1"/>
          <w:sz w:val="36"/>
          <w:szCs w:val="36"/>
          <w:shd w:val="clear" w:color="auto" w:fill="FFFFFF"/>
          <w:lang w:eastAsia="it-IT"/>
        </w:rPr>
        <w:t xml:space="preserve">                          </w:t>
      </w:r>
    </w:p>
    <w:p w14:paraId="7F1630D6" w14:textId="77777777" w:rsidR="00333618" w:rsidRPr="00DA72DA" w:rsidRDefault="00333618" w:rsidP="00CE777F">
      <w:pPr>
        <w:tabs>
          <w:tab w:val="left" w:pos="1701"/>
          <w:tab w:val="left" w:pos="2268"/>
        </w:tabs>
        <w:spacing w:after="0" w:line="360" w:lineRule="auto"/>
        <w:rPr>
          <w:rFonts w:eastAsia="Times New Roman" w:cstheme="minorHAnsi"/>
          <w:color w:val="0D0D0D" w:themeColor="text1" w:themeTint="F2"/>
          <w:sz w:val="36"/>
          <w:szCs w:val="36"/>
          <w:shd w:val="clear" w:color="auto" w:fill="FFFFFF"/>
          <w:lang w:eastAsia="it-IT"/>
        </w:rPr>
      </w:pPr>
      <w:bookmarkStart w:id="1" w:name="_Hlk191722379"/>
      <w:r w:rsidRPr="00DA72DA">
        <w:rPr>
          <w:rFonts w:eastAsia="Times New Roman" w:cstheme="minorHAnsi"/>
          <w:color w:val="0D0D0D" w:themeColor="text1" w:themeTint="F2"/>
          <w:sz w:val="36"/>
          <w:szCs w:val="36"/>
          <w:shd w:val="clear" w:color="auto" w:fill="FFFFFF"/>
          <w:lang w:eastAsia="it-IT"/>
        </w:rPr>
        <w:t xml:space="preserve">Cfr. S. Della Pergola, </w:t>
      </w:r>
      <w:r w:rsidRPr="00DA72DA">
        <w:rPr>
          <w:rFonts w:eastAsia="Times New Roman" w:cstheme="minorHAnsi"/>
          <w:i/>
          <w:iCs/>
          <w:color w:val="0D0D0D" w:themeColor="text1" w:themeTint="F2"/>
          <w:sz w:val="36"/>
          <w:szCs w:val="36"/>
          <w:shd w:val="clear" w:color="auto" w:fill="FFFFFF"/>
          <w:lang w:eastAsia="it-IT"/>
        </w:rPr>
        <w:t>Essere ebrei oggi</w:t>
      </w:r>
      <w:r w:rsidRPr="00DA72DA">
        <w:rPr>
          <w:rFonts w:eastAsia="Times New Roman" w:cstheme="minorHAnsi"/>
          <w:color w:val="0D0D0D" w:themeColor="text1" w:themeTint="F2"/>
          <w:sz w:val="36"/>
          <w:szCs w:val="36"/>
          <w:shd w:val="clear" w:color="auto" w:fill="FFFFFF"/>
          <w:lang w:eastAsia="it-IT"/>
        </w:rPr>
        <w:t>, p.195</w:t>
      </w:r>
    </w:p>
    <w:bookmarkEnd w:id="1"/>
    <w:p w14:paraId="115C8120" w14:textId="77777777" w:rsidR="00333618" w:rsidRPr="00DA72DA" w:rsidRDefault="00333618" w:rsidP="00CE777F">
      <w:pPr>
        <w:tabs>
          <w:tab w:val="left" w:pos="1701"/>
          <w:tab w:val="left" w:pos="2268"/>
        </w:tabs>
        <w:spacing w:after="0" w:line="360" w:lineRule="auto"/>
        <w:rPr>
          <w:rFonts w:eastAsia="Times New Roman" w:cstheme="minorHAnsi"/>
          <w:b/>
          <w:bCs/>
          <w:color w:val="C45911" w:themeColor="accent2" w:themeShade="BF"/>
          <w:sz w:val="36"/>
          <w:szCs w:val="36"/>
          <w:shd w:val="clear" w:color="auto" w:fill="FFFFFF"/>
          <w:lang w:eastAsia="it-IT"/>
        </w:rPr>
      </w:pPr>
    </w:p>
    <w:p w14:paraId="5243BDEA" w14:textId="00A8F7FD" w:rsidR="00DA72DA" w:rsidRPr="00CE777F" w:rsidRDefault="00E57907" w:rsidP="00CE777F">
      <w:pPr>
        <w:spacing w:after="0"/>
        <w:rPr>
          <w:rFonts w:eastAsia="Times New Roman" w:cstheme="minorHAnsi"/>
          <w:b/>
          <w:bCs/>
          <w:color w:val="C45911" w:themeColor="accent2" w:themeShade="BF"/>
          <w:sz w:val="36"/>
          <w:szCs w:val="36"/>
          <w:shd w:val="clear" w:color="auto" w:fill="FFFFFF"/>
          <w:lang w:eastAsia="it-IT"/>
        </w:rPr>
      </w:pPr>
      <w:r>
        <w:rPr>
          <w:rFonts w:eastAsia="Times New Roman" w:cstheme="minorHAnsi"/>
          <w:b/>
          <w:bCs/>
          <w:color w:val="C45911" w:themeColor="accent2" w:themeShade="BF"/>
          <w:sz w:val="36"/>
          <w:szCs w:val="36"/>
          <w:shd w:val="clear" w:color="auto" w:fill="FFFFFF"/>
          <w:lang w:eastAsia="it-IT"/>
        </w:rPr>
        <w:t xml:space="preserve">  </w:t>
      </w:r>
      <w:r w:rsidR="00DA72DA" w:rsidRPr="00DA72DA">
        <w:rPr>
          <w:rFonts w:eastAsia="Times New Roman" w:cstheme="minorHAnsi"/>
          <w:b/>
          <w:bCs/>
          <w:color w:val="C45911" w:themeColor="accent2" w:themeShade="BF"/>
          <w:sz w:val="36"/>
          <w:szCs w:val="36"/>
          <w:shd w:val="clear" w:color="auto" w:fill="FFFFFF"/>
          <w:lang w:eastAsia="it-IT"/>
        </w:rPr>
        <w:t xml:space="preserve">2. </w:t>
      </w:r>
      <w:r w:rsidR="00DA72DA" w:rsidRPr="00DA72DA">
        <w:rPr>
          <w:rFonts w:cstheme="minorHAnsi"/>
          <w:b/>
          <w:color w:val="C45911" w:themeColor="accent2" w:themeShade="BF"/>
          <w:sz w:val="36"/>
          <w:szCs w:val="36"/>
        </w:rPr>
        <w:t xml:space="preserve">Chi è ebreo/a? </w:t>
      </w:r>
      <w:r w:rsidR="00DA72DA" w:rsidRPr="00DA72DA">
        <w:rPr>
          <w:rFonts w:eastAsia="Times New Roman" w:cstheme="minorHAnsi"/>
          <w:b/>
          <w:bCs/>
          <w:color w:val="C45911" w:themeColor="accent2" w:themeShade="BF"/>
          <w:sz w:val="36"/>
          <w:szCs w:val="36"/>
          <w:shd w:val="clear" w:color="auto" w:fill="FFFFFF"/>
          <w:lang w:eastAsia="it-IT"/>
        </w:rPr>
        <w:t>Nascita e conversione</w:t>
      </w:r>
    </w:p>
    <w:p w14:paraId="57869DC4" w14:textId="3F3B90F0" w:rsidR="00CE777F" w:rsidRDefault="00DA72DA" w:rsidP="00CE777F">
      <w:pPr>
        <w:spacing w:after="0" w:line="240" w:lineRule="auto"/>
        <w:ind w:firstLine="142"/>
        <w:jc w:val="both"/>
        <w:rPr>
          <w:rFonts w:cstheme="minorHAnsi"/>
          <w:sz w:val="36"/>
          <w:szCs w:val="36"/>
        </w:rPr>
      </w:pPr>
      <w:r w:rsidRPr="00DA72DA">
        <w:rPr>
          <w:rFonts w:cstheme="minorHAnsi"/>
          <w:b/>
          <w:bCs/>
          <w:color w:val="C45911" w:themeColor="accent2" w:themeShade="BF"/>
          <w:sz w:val="36"/>
          <w:szCs w:val="36"/>
        </w:rPr>
        <w:t>2.1</w:t>
      </w:r>
      <w:r>
        <w:rPr>
          <w:rFonts w:cstheme="minorHAnsi"/>
          <w:sz w:val="36"/>
          <w:szCs w:val="36"/>
        </w:rPr>
        <w:t>.</w:t>
      </w:r>
      <w:r w:rsidRPr="00DA72DA">
        <w:rPr>
          <w:rFonts w:cstheme="minorHAnsi"/>
          <w:sz w:val="36"/>
          <w:szCs w:val="36"/>
        </w:rPr>
        <w:t xml:space="preserve"> </w:t>
      </w:r>
      <w:r w:rsidR="00CE777F" w:rsidRPr="00CE777F">
        <w:rPr>
          <w:rFonts w:cstheme="minorHAnsi"/>
          <w:b/>
          <w:bCs/>
          <w:sz w:val="36"/>
          <w:szCs w:val="36"/>
        </w:rPr>
        <w:t>Si è ebrei/e per nascita, lo si può diventare per conversione</w:t>
      </w:r>
      <w:r w:rsidR="00CE777F">
        <w:rPr>
          <w:rFonts w:cstheme="minorHAnsi"/>
          <w:b/>
          <w:bCs/>
          <w:sz w:val="36"/>
          <w:szCs w:val="36"/>
        </w:rPr>
        <w:t xml:space="preserve">. </w:t>
      </w:r>
    </w:p>
    <w:p w14:paraId="0B40D1A0" w14:textId="77777777" w:rsidR="00B01358" w:rsidRDefault="00CE777F" w:rsidP="00B01358">
      <w:pPr>
        <w:spacing w:after="0" w:line="240" w:lineRule="auto"/>
        <w:jc w:val="both"/>
        <w:rPr>
          <w:rFonts w:cstheme="minorHAnsi"/>
          <w:b/>
          <w:bCs/>
          <w:sz w:val="36"/>
          <w:szCs w:val="36"/>
        </w:rPr>
      </w:pPr>
      <w:r>
        <w:rPr>
          <w:rFonts w:cstheme="minorHAnsi"/>
          <w:sz w:val="36"/>
          <w:szCs w:val="36"/>
        </w:rPr>
        <w:t>Nel primo caso una componente “etnica” si incontra con una “religiosa”; nel secondo caso l’ordine dei fattori si inverte. N.B. una convertita all’ebraismo mette al mondo un figlio o una figlia ebrea per nascita.</w:t>
      </w:r>
      <w:r w:rsidR="00B01358" w:rsidRPr="00B01358">
        <w:rPr>
          <w:rFonts w:cstheme="minorHAnsi"/>
          <w:b/>
          <w:bCs/>
          <w:sz w:val="36"/>
          <w:szCs w:val="36"/>
        </w:rPr>
        <w:t xml:space="preserve"> </w:t>
      </w:r>
    </w:p>
    <w:p w14:paraId="4628691F" w14:textId="23624013" w:rsidR="00B01358" w:rsidRPr="00DA72DA" w:rsidRDefault="00B01358" w:rsidP="00B01358">
      <w:pPr>
        <w:spacing w:after="0" w:line="240" w:lineRule="auto"/>
        <w:jc w:val="both"/>
        <w:rPr>
          <w:rFonts w:cstheme="minorHAnsi"/>
          <w:smallCaps/>
          <w:sz w:val="36"/>
          <w:szCs w:val="36"/>
        </w:rPr>
      </w:pPr>
      <w:r w:rsidRPr="00B01358">
        <w:rPr>
          <w:rFonts w:cstheme="minorHAnsi"/>
          <w:b/>
          <w:bCs/>
          <w:sz w:val="36"/>
          <w:szCs w:val="36"/>
        </w:rPr>
        <w:t>S'intende ebreo chi è nato da genitori ebrei, o quanto meno da madre ebrea, o chi è diventato ebreo attraverso un processo di conversione ritenuto valido dall'</w:t>
      </w:r>
      <w:r w:rsidRPr="00B01358">
        <w:rPr>
          <w:rFonts w:cstheme="minorHAnsi"/>
          <w:b/>
          <w:bCs/>
          <w:i/>
          <w:sz w:val="36"/>
          <w:szCs w:val="36"/>
        </w:rPr>
        <w:t>halakàh</w:t>
      </w:r>
      <w:r w:rsidRPr="00DA72DA">
        <w:rPr>
          <w:rFonts w:cstheme="minorHAnsi"/>
          <w:i/>
          <w:sz w:val="36"/>
          <w:szCs w:val="36"/>
        </w:rPr>
        <w:t xml:space="preserve"> </w:t>
      </w:r>
      <w:r w:rsidRPr="00DA72DA">
        <w:rPr>
          <w:rFonts w:cstheme="minorHAnsi"/>
          <w:sz w:val="36"/>
          <w:szCs w:val="36"/>
        </w:rPr>
        <w:t xml:space="preserve">(b. </w:t>
      </w:r>
      <w:r w:rsidRPr="00DA72DA">
        <w:rPr>
          <w:rFonts w:cstheme="minorHAnsi"/>
          <w:i/>
          <w:sz w:val="36"/>
          <w:szCs w:val="36"/>
        </w:rPr>
        <w:t xml:space="preserve">Sanhedrin </w:t>
      </w:r>
      <w:r w:rsidRPr="00DA72DA">
        <w:rPr>
          <w:rFonts w:cstheme="minorHAnsi"/>
          <w:sz w:val="36"/>
          <w:szCs w:val="36"/>
        </w:rPr>
        <w:t xml:space="preserve">44a e commento di Rashi </w:t>
      </w:r>
      <w:r w:rsidRPr="00DA72DA">
        <w:rPr>
          <w:rFonts w:cstheme="minorHAnsi"/>
          <w:i/>
          <w:sz w:val="36"/>
          <w:szCs w:val="36"/>
        </w:rPr>
        <w:t>ad locum</w:t>
      </w:r>
      <w:r w:rsidRPr="00DA72DA">
        <w:rPr>
          <w:rFonts w:cstheme="minorHAnsi"/>
          <w:sz w:val="36"/>
          <w:szCs w:val="36"/>
        </w:rPr>
        <w:t>)»</w:t>
      </w:r>
      <w:r>
        <w:rPr>
          <w:rFonts w:cstheme="minorHAnsi"/>
          <w:sz w:val="36"/>
          <w:szCs w:val="36"/>
        </w:rPr>
        <w:t>.</w:t>
      </w:r>
      <w:r w:rsidRPr="00DA72DA">
        <w:rPr>
          <w:rStyle w:val="Rimandonotaapidipagina"/>
          <w:rFonts w:cstheme="minorHAnsi"/>
          <w:sz w:val="36"/>
          <w:szCs w:val="36"/>
        </w:rPr>
        <w:footnoteReference w:id="7"/>
      </w:r>
    </w:p>
    <w:p w14:paraId="46D8DE43" w14:textId="17559844" w:rsidR="00CE777F" w:rsidRPr="00CE777F" w:rsidRDefault="00CE777F" w:rsidP="00CE777F">
      <w:pPr>
        <w:spacing w:after="0" w:line="240" w:lineRule="auto"/>
        <w:ind w:firstLine="142"/>
        <w:jc w:val="both"/>
        <w:rPr>
          <w:rFonts w:cstheme="minorHAnsi"/>
          <w:color w:val="C45911" w:themeColor="accent2" w:themeShade="BF"/>
          <w:sz w:val="36"/>
          <w:szCs w:val="36"/>
        </w:rPr>
      </w:pPr>
    </w:p>
    <w:p w14:paraId="279271C6" w14:textId="1B0CDCFD" w:rsidR="00DA72DA" w:rsidRDefault="00DA72DA" w:rsidP="00CE777F">
      <w:pPr>
        <w:spacing w:after="0" w:line="240" w:lineRule="auto"/>
        <w:ind w:firstLine="142"/>
        <w:jc w:val="both"/>
        <w:rPr>
          <w:rFonts w:cstheme="minorHAnsi"/>
          <w:sz w:val="36"/>
          <w:szCs w:val="36"/>
        </w:rPr>
      </w:pPr>
      <w:r w:rsidRPr="00CE777F">
        <w:rPr>
          <w:rFonts w:cstheme="minorHAnsi"/>
          <w:b/>
          <w:bCs/>
          <w:color w:val="C45911" w:themeColor="accent2" w:themeShade="BF"/>
          <w:sz w:val="36"/>
          <w:szCs w:val="36"/>
        </w:rPr>
        <w:t>Un confronto medievale</w:t>
      </w:r>
      <w:r>
        <w:rPr>
          <w:rFonts w:cstheme="minorHAnsi"/>
          <w:sz w:val="36"/>
          <w:szCs w:val="36"/>
        </w:rPr>
        <w:t>. I</w:t>
      </w:r>
      <w:r w:rsidRPr="00DA72DA">
        <w:rPr>
          <w:rFonts w:cstheme="minorHAnsi"/>
          <w:sz w:val="36"/>
          <w:szCs w:val="36"/>
        </w:rPr>
        <w:t xml:space="preserve"> due più grandi maestri di quel periodo</w:t>
      </w:r>
      <w:r>
        <w:rPr>
          <w:rFonts w:cstheme="minorHAnsi"/>
          <w:sz w:val="36"/>
          <w:szCs w:val="36"/>
        </w:rPr>
        <w:t xml:space="preserve"> furono</w:t>
      </w:r>
      <w:r w:rsidRPr="00DA72DA">
        <w:rPr>
          <w:rFonts w:cstheme="minorHAnsi"/>
          <w:sz w:val="36"/>
          <w:szCs w:val="36"/>
        </w:rPr>
        <w:t>: Yehudah</w:t>
      </w:r>
      <w:r w:rsidRPr="00DA72DA">
        <w:rPr>
          <w:rFonts w:cstheme="minorHAnsi"/>
          <w:b/>
          <w:sz w:val="36"/>
          <w:szCs w:val="36"/>
        </w:rPr>
        <w:t xml:space="preserve"> </w:t>
      </w:r>
      <w:r w:rsidRPr="00DA72DA">
        <w:rPr>
          <w:rFonts w:cstheme="minorHAnsi"/>
          <w:sz w:val="36"/>
          <w:szCs w:val="36"/>
        </w:rPr>
        <w:t>ha-Lewì (1075</w:t>
      </w:r>
      <w:r w:rsidRPr="00DA72DA">
        <w:rPr>
          <w:rFonts w:cstheme="minorHAnsi"/>
          <w:b/>
          <w:sz w:val="36"/>
          <w:szCs w:val="36"/>
        </w:rPr>
        <w:t>-</w:t>
      </w:r>
      <w:r w:rsidRPr="00DA72DA">
        <w:rPr>
          <w:rFonts w:cstheme="minorHAnsi"/>
          <w:sz w:val="36"/>
          <w:szCs w:val="36"/>
        </w:rPr>
        <w:t xml:space="preserve">1141) e Mosè Maimonide (1138-1204). Il primo sosteneva che le verità spirituali e intellettuali dell’ebraismo sono intrinsecamente connesse all’ininterrotto legame del popolo ebraico con </w:t>
      </w:r>
      <w:r w:rsidRPr="00DA72DA">
        <w:rPr>
          <w:rFonts w:cstheme="minorHAnsi"/>
          <w:sz w:val="36"/>
          <w:szCs w:val="36"/>
        </w:rPr>
        <w:lastRenderedPageBreak/>
        <w:t>Abramo. Anche il patto sinaitico e l’elezione d’Israele sono fondati su questa specifica eredità, non si può quindi concepire una comunità ebraica separata da questa discendenza. Maimonide sottolineava invece che il carattere peculiare del patto va riferito prima di tutto alla fede universale nell’esistenza di un unico Signore. Nel considerare il rapporto con Dio egli sostiene che la vita spirituale e i comportamenti normativi sono i tratti più importanti della discendenza. Da qui la scelta di intendere Abramo come padre sia di coloro che appartengono al suo seme e che seguono in modo corretto il suo cammino, sia di quelli che si convertono all’ebraismo: «non c’è alcuna differenza tra noi e loro».</w:t>
      </w:r>
      <w:r w:rsidRPr="00DA72DA">
        <w:rPr>
          <w:rStyle w:val="Rimandonotaapidipagina"/>
          <w:rFonts w:cstheme="minorHAnsi"/>
          <w:sz w:val="36"/>
          <w:szCs w:val="36"/>
        </w:rPr>
        <w:footnoteReference w:id="8"/>
      </w:r>
    </w:p>
    <w:p w14:paraId="4F9DD95A" w14:textId="7F5789F9" w:rsidR="00462E91" w:rsidRPr="00DA72DA" w:rsidRDefault="00DA72DA" w:rsidP="00CE777F">
      <w:pPr>
        <w:tabs>
          <w:tab w:val="left" w:pos="1701"/>
          <w:tab w:val="left" w:pos="2268"/>
        </w:tabs>
        <w:spacing w:after="0" w:line="240" w:lineRule="auto"/>
        <w:ind w:firstLine="284"/>
        <w:jc w:val="both"/>
        <w:rPr>
          <w:rFonts w:cstheme="minorHAnsi"/>
          <w:smallCaps/>
          <w:sz w:val="36"/>
          <w:szCs w:val="36"/>
        </w:rPr>
      </w:pPr>
      <w:r w:rsidRPr="00DA72DA">
        <w:rPr>
          <w:rFonts w:cstheme="minorHAnsi"/>
          <w:sz w:val="36"/>
          <w:szCs w:val="36"/>
        </w:rPr>
        <w:t xml:space="preserve">Peraltro già </w:t>
      </w:r>
      <w:r>
        <w:rPr>
          <w:rFonts w:cstheme="minorHAnsi"/>
          <w:sz w:val="36"/>
          <w:szCs w:val="36"/>
        </w:rPr>
        <w:t>molti</w:t>
      </w:r>
      <w:r w:rsidRPr="00DA72DA">
        <w:rPr>
          <w:rFonts w:cstheme="minorHAnsi"/>
          <w:sz w:val="36"/>
          <w:szCs w:val="36"/>
        </w:rPr>
        <w:t xml:space="preserve"> secoli prima il massimo esponente della </w:t>
      </w:r>
      <w:r w:rsidR="00462E91">
        <w:rPr>
          <w:rFonts w:cstheme="minorHAnsi"/>
          <w:sz w:val="36"/>
          <w:szCs w:val="36"/>
        </w:rPr>
        <w:t>“</w:t>
      </w:r>
      <w:r w:rsidRPr="00DA72DA">
        <w:rPr>
          <w:rFonts w:cstheme="minorHAnsi"/>
          <w:sz w:val="36"/>
          <w:szCs w:val="36"/>
        </w:rPr>
        <w:t>aperta</w:t>
      </w:r>
      <w:r w:rsidR="00462E91">
        <w:rPr>
          <w:rFonts w:cstheme="minorHAnsi"/>
          <w:sz w:val="36"/>
          <w:szCs w:val="36"/>
        </w:rPr>
        <w:t>”</w:t>
      </w:r>
      <w:r w:rsidRPr="00DA72DA">
        <w:rPr>
          <w:rFonts w:cstheme="minorHAnsi"/>
          <w:sz w:val="36"/>
          <w:szCs w:val="36"/>
        </w:rPr>
        <w:t xml:space="preserve"> cultura giudeo-ellenista, Filone d’Alessandria</w:t>
      </w:r>
      <w:r w:rsidR="00170A6C">
        <w:rPr>
          <w:rFonts w:cstheme="minorHAnsi"/>
          <w:sz w:val="36"/>
          <w:szCs w:val="36"/>
        </w:rPr>
        <w:t xml:space="preserve"> (20 </w:t>
      </w:r>
      <w:r w:rsidR="00462E91">
        <w:rPr>
          <w:rFonts w:cstheme="minorHAnsi"/>
          <w:sz w:val="36"/>
          <w:szCs w:val="36"/>
        </w:rPr>
        <w:t>a.C.</w:t>
      </w:r>
      <w:r w:rsidR="00170A6C">
        <w:rPr>
          <w:rFonts w:cstheme="minorHAnsi"/>
          <w:sz w:val="36"/>
          <w:szCs w:val="36"/>
        </w:rPr>
        <w:t xml:space="preserve"> circa - 45 d.C. circa)</w:t>
      </w:r>
      <w:r w:rsidRPr="00DA72DA">
        <w:rPr>
          <w:rFonts w:cstheme="minorHAnsi"/>
          <w:sz w:val="36"/>
          <w:szCs w:val="36"/>
        </w:rPr>
        <w:t>, esalta</w:t>
      </w:r>
      <w:r w:rsidR="00462E91">
        <w:rPr>
          <w:rFonts w:cstheme="minorHAnsi"/>
          <w:sz w:val="36"/>
          <w:szCs w:val="36"/>
        </w:rPr>
        <w:t>va il</w:t>
      </w:r>
      <w:r w:rsidRPr="00DA72DA">
        <w:rPr>
          <w:rFonts w:cstheme="minorHAnsi"/>
          <w:sz w:val="36"/>
          <w:szCs w:val="36"/>
        </w:rPr>
        <w:t xml:space="preserve"> proselito che «ha ripudiato le false opinioni ed abbracciato la verità nella sua integrità» diventando uguale agli ebrei per nascita, alla constatazione che egli con questo gesto ha compiuto un taglio netto con la sua origine, «l’antica nobiltà di sangue» è perciò chiamata a onorarlo «con speciale amicizia e gra</w:t>
      </w:r>
      <w:r w:rsidR="00462E91" w:rsidRPr="00DA72DA">
        <w:rPr>
          <w:rFonts w:cstheme="minorHAnsi"/>
          <w:sz w:val="36"/>
          <w:szCs w:val="36"/>
        </w:rPr>
        <w:t>nde benevolenza»</w:t>
      </w:r>
      <w:r w:rsidR="00B01358">
        <w:rPr>
          <w:rFonts w:cstheme="minorHAnsi"/>
          <w:sz w:val="36"/>
          <w:szCs w:val="36"/>
        </w:rPr>
        <w:t>.</w:t>
      </w:r>
      <w:r w:rsidR="00462E91" w:rsidRPr="00DA72DA">
        <w:rPr>
          <w:rFonts w:cstheme="minorHAnsi"/>
          <w:sz w:val="36"/>
          <w:szCs w:val="36"/>
        </w:rPr>
        <w:t xml:space="preserve"> </w:t>
      </w:r>
      <w:r w:rsidR="00462E91" w:rsidRPr="00DA72DA">
        <w:rPr>
          <w:rStyle w:val="Rimandonotaapidipagina"/>
          <w:rFonts w:cstheme="minorHAnsi"/>
          <w:sz w:val="36"/>
          <w:szCs w:val="36"/>
        </w:rPr>
        <w:footnoteReference w:id="9"/>
      </w:r>
      <w:r w:rsidR="00462E91" w:rsidRPr="00DA72DA">
        <w:rPr>
          <w:rFonts w:cstheme="minorHAnsi"/>
          <w:sz w:val="36"/>
          <w:szCs w:val="36"/>
        </w:rPr>
        <w:t xml:space="preserve"> </w:t>
      </w:r>
    </w:p>
    <w:p w14:paraId="6E8DEC5F" w14:textId="77777777" w:rsidR="00B01358" w:rsidRDefault="00B01358" w:rsidP="00CE777F">
      <w:pPr>
        <w:spacing w:after="0" w:line="240" w:lineRule="auto"/>
        <w:ind w:firstLine="142"/>
        <w:jc w:val="both"/>
        <w:rPr>
          <w:rFonts w:cstheme="minorHAnsi"/>
          <w:b/>
          <w:bCs/>
          <w:color w:val="C45911" w:themeColor="accent2" w:themeShade="BF"/>
          <w:sz w:val="36"/>
          <w:szCs w:val="36"/>
        </w:rPr>
      </w:pPr>
      <w:r>
        <w:rPr>
          <w:rFonts w:cstheme="minorHAnsi"/>
          <w:b/>
          <w:bCs/>
          <w:color w:val="C45911" w:themeColor="accent2" w:themeShade="BF"/>
          <w:sz w:val="36"/>
          <w:szCs w:val="36"/>
        </w:rPr>
        <w:t xml:space="preserve">  </w:t>
      </w:r>
    </w:p>
    <w:p w14:paraId="1C29F040" w14:textId="230D6ACA" w:rsidR="00DA72DA" w:rsidRPr="00B01358" w:rsidRDefault="00B01358" w:rsidP="00CE777F">
      <w:pPr>
        <w:spacing w:after="0" w:line="240" w:lineRule="auto"/>
        <w:ind w:firstLine="142"/>
        <w:jc w:val="both"/>
        <w:rPr>
          <w:rFonts w:cstheme="minorHAnsi"/>
          <w:b/>
          <w:bCs/>
          <w:color w:val="C45911" w:themeColor="accent2" w:themeShade="BF"/>
          <w:sz w:val="36"/>
          <w:szCs w:val="36"/>
        </w:rPr>
      </w:pPr>
      <w:r>
        <w:rPr>
          <w:rFonts w:cstheme="minorHAnsi"/>
          <w:b/>
          <w:bCs/>
          <w:color w:val="C45911" w:themeColor="accent2" w:themeShade="BF"/>
          <w:sz w:val="36"/>
          <w:szCs w:val="36"/>
        </w:rPr>
        <w:t xml:space="preserve">  </w:t>
      </w:r>
      <w:r w:rsidRPr="00B01358">
        <w:rPr>
          <w:rFonts w:cstheme="minorHAnsi"/>
          <w:b/>
          <w:bCs/>
          <w:color w:val="C45911" w:themeColor="accent2" w:themeShade="BF"/>
          <w:sz w:val="36"/>
          <w:szCs w:val="36"/>
        </w:rPr>
        <w:t>Soggettivo e oggettivo</w:t>
      </w:r>
    </w:p>
    <w:p w14:paraId="3162F815" w14:textId="77777777" w:rsidR="00CE777F" w:rsidRDefault="00DA72DA" w:rsidP="00CE777F">
      <w:pPr>
        <w:tabs>
          <w:tab w:val="left" w:pos="1701"/>
          <w:tab w:val="left" w:pos="2268"/>
        </w:tabs>
        <w:spacing w:after="0" w:line="240" w:lineRule="auto"/>
        <w:ind w:firstLine="284"/>
        <w:jc w:val="both"/>
        <w:rPr>
          <w:rFonts w:cstheme="minorHAnsi"/>
          <w:sz w:val="36"/>
          <w:szCs w:val="36"/>
        </w:rPr>
      </w:pPr>
      <w:r w:rsidRPr="00DA72DA">
        <w:rPr>
          <w:rFonts w:cstheme="minorHAnsi"/>
          <w:sz w:val="36"/>
          <w:szCs w:val="36"/>
        </w:rPr>
        <w:t xml:space="preserve">Per comprendere adeguatamente la portata del dibattito appena indicato occorre tener presente un’ampia serie di riferimenti normativi che partono dalla tarda antichità e giungono fino a questioni tuttora assai vive e dibattute, specie all’interno dello Stato d’Israele. </w:t>
      </w:r>
    </w:p>
    <w:p w14:paraId="439DB0F6" w14:textId="2A168867" w:rsidR="00DA72DA" w:rsidRPr="00DA72DA" w:rsidRDefault="00DA72DA" w:rsidP="00CE777F">
      <w:pPr>
        <w:tabs>
          <w:tab w:val="left" w:pos="1701"/>
          <w:tab w:val="left" w:pos="2268"/>
        </w:tabs>
        <w:spacing w:after="0" w:line="240" w:lineRule="auto"/>
        <w:ind w:firstLine="284"/>
        <w:jc w:val="both"/>
        <w:rPr>
          <w:rFonts w:cstheme="minorHAnsi"/>
          <w:smallCaps/>
          <w:sz w:val="36"/>
          <w:szCs w:val="36"/>
        </w:rPr>
      </w:pPr>
      <w:r w:rsidRPr="00DA72DA">
        <w:rPr>
          <w:rFonts w:cstheme="minorHAnsi"/>
          <w:sz w:val="36"/>
          <w:szCs w:val="36"/>
        </w:rPr>
        <w:lastRenderedPageBreak/>
        <w:t>In proposito occorre porre in luce la tensione esistente tra una componente «soggettiva» (le convinzioni personali) e una «oggettiva» (lo status acquisito a motivo della nascita) proprie della condizione ebraica. La presenza di questi due fattori costituisce un tratto tanto antico quanto attuale. Un esempio eloquente al riguardo è costituito da una discussione talmudica la quale stabilisce che un ebreo fattosi pagano eredita la proprietà paterna, mentre un gentile convertitosi all’ebraismo non eredita i possessi del padre, neppure nel caso in cui quest’ultimo si sia convertito all’ebraismo</w:t>
      </w:r>
      <w:r w:rsidR="00CE777F">
        <w:rPr>
          <w:rFonts w:cstheme="minorHAnsi"/>
          <w:sz w:val="36"/>
          <w:szCs w:val="36"/>
        </w:rPr>
        <w:t>.</w:t>
      </w:r>
      <w:r w:rsidRPr="00DA72DA">
        <w:rPr>
          <w:rStyle w:val="Rimandonotaapidipagina"/>
          <w:rFonts w:cstheme="minorHAnsi"/>
          <w:sz w:val="36"/>
          <w:szCs w:val="36"/>
        </w:rPr>
        <w:footnoteReference w:id="10"/>
      </w:r>
      <w:r w:rsidRPr="00DA72DA">
        <w:rPr>
          <w:rFonts w:cstheme="minorHAnsi"/>
          <w:sz w:val="36"/>
          <w:szCs w:val="36"/>
        </w:rPr>
        <w:t xml:space="preserve"> La posizione celebra la saldezza dei legami genealogici che uniscono l’ebreo ai propri avi; al contrario quando un </w:t>
      </w:r>
      <w:r w:rsidRPr="00DA72DA">
        <w:rPr>
          <w:rFonts w:cstheme="minorHAnsi"/>
          <w:i/>
          <w:sz w:val="36"/>
          <w:szCs w:val="36"/>
        </w:rPr>
        <w:t xml:space="preserve">goy </w:t>
      </w:r>
      <w:r w:rsidRPr="00DA72DA">
        <w:rPr>
          <w:rFonts w:cstheme="minorHAnsi"/>
          <w:sz w:val="36"/>
          <w:szCs w:val="36"/>
        </w:rPr>
        <w:t xml:space="preserve">(un non ebreo) si converte, con quest’atto egli recide completamente i nessi che lo legano al suo gruppo di provenienza. </w:t>
      </w:r>
    </w:p>
    <w:p w14:paraId="2CE866A1" w14:textId="77777777" w:rsidR="00DA72DA" w:rsidRPr="00DA72DA" w:rsidRDefault="00DA72DA" w:rsidP="00CE777F">
      <w:pPr>
        <w:tabs>
          <w:tab w:val="left" w:pos="1701"/>
          <w:tab w:val="left" w:pos="2268"/>
        </w:tabs>
        <w:spacing w:after="0" w:line="240" w:lineRule="auto"/>
        <w:ind w:firstLine="284"/>
        <w:rPr>
          <w:rFonts w:cstheme="minorHAnsi"/>
          <w:smallCaps/>
          <w:sz w:val="36"/>
          <w:szCs w:val="36"/>
        </w:rPr>
      </w:pPr>
      <w:r w:rsidRPr="00DA72DA">
        <w:rPr>
          <w:rFonts w:cstheme="minorHAnsi"/>
          <w:sz w:val="36"/>
          <w:szCs w:val="36"/>
        </w:rPr>
        <w:t>Nel dibattito talmudico vediamo già dispiegarsi il confronto tra la componente «soggettiva» e quella «oggettiva» dell’essere ebreo. Si nasce entro la grande famiglia del popolo ebraico e in essa si è oggettivamente inseriti; chi non le appartiene può però scegliere di aggregarvisi in virtù di un passaggio compiuto solo in base alle proprie personali convinzioni religiose.</w:t>
      </w:r>
    </w:p>
    <w:p w14:paraId="32BAE562" w14:textId="77777777" w:rsidR="00264315" w:rsidRDefault="00DA72DA" w:rsidP="00CE777F">
      <w:pPr>
        <w:tabs>
          <w:tab w:val="left" w:pos="1701"/>
          <w:tab w:val="left" w:pos="2268"/>
        </w:tabs>
        <w:spacing w:after="0" w:line="240" w:lineRule="auto"/>
        <w:ind w:firstLine="284"/>
        <w:jc w:val="both"/>
        <w:rPr>
          <w:rFonts w:cstheme="minorHAnsi"/>
          <w:sz w:val="36"/>
          <w:szCs w:val="36"/>
        </w:rPr>
      </w:pPr>
      <w:r w:rsidRPr="00DA72DA">
        <w:rPr>
          <w:rFonts w:cstheme="minorHAnsi"/>
          <w:sz w:val="36"/>
          <w:szCs w:val="36"/>
        </w:rPr>
        <w:t xml:space="preserve">Lo statuto delle conversioni è stato tra i più discussi dell’intera storia ebraica e ancor oggi attorno a esso non mancano tensioni e contrasti. La presenza di proseliti, cioè di gentili che intraprendono la via per entrare a far parte della comunità ebraica, è attestata nel mondo antico a partire dall’esilio babilonese (VI secolo a.C.). Per quanto ci è dato di sapere, la modalità di aggregazione non doveva attenersi a procedure rigidamente stabilite. Come si deduce dai libri biblici di Esdra e Neemia (cfr. Esd 9; Ne 9,2), che li condanna, e da quello di Rut, che li approva, in epoca antica i </w:t>
      </w:r>
      <w:r w:rsidRPr="00DA72DA">
        <w:rPr>
          <w:rFonts w:cstheme="minorHAnsi"/>
          <w:sz w:val="36"/>
          <w:szCs w:val="36"/>
        </w:rPr>
        <w:lastRenderedPageBreak/>
        <w:t xml:space="preserve">matrimoni misti erano considerati la via più frequente per entrare a far parte del popolo ebraico (cfr. Genesi 41,45; 45,5-6; Numeri 12,1; 2Samuele 3,3). </w:t>
      </w:r>
    </w:p>
    <w:p w14:paraId="6AB5F55E" w14:textId="359D175E" w:rsidR="00DA72DA" w:rsidRPr="00DA72DA" w:rsidRDefault="00264315" w:rsidP="00CE777F">
      <w:pPr>
        <w:tabs>
          <w:tab w:val="left" w:pos="1701"/>
          <w:tab w:val="left" w:pos="2268"/>
        </w:tabs>
        <w:spacing w:after="0" w:line="240" w:lineRule="auto"/>
        <w:ind w:firstLine="284"/>
        <w:jc w:val="both"/>
        <w:rPr>
          <w:rFonts w:cstheme="minorHAnsi"/>
          <w:smallCaps/>
          <w:sz w:val="36"/>
          <w:szCs w:val="36"/>
        </w:rPr>
      </w:pPr>
      <w:r>
        <w:rPr>
          <w:rFonts w:cstheme="minorHAnsi"/>
          <w:sz w:val="36"/>
          <w:szCs w:val="36"/>
        </w:rPr>
        <w:t>A</w:t>
      </w:r>
      <w:r w:rsidR="00DA72DA" w:rsidRPr="00DA72DA">
        <w:rPr>
          <w:rFonts w:cstheme="minorHAnsi"/>
          <w:sz w:val="36"/>
          <w:szCs w:val="36"/>
        </w:rPr>
        <w:t xml:space="preserve">ll’epoca asmonea (II-I secolo a.C.) </w:t>
      </w:r>
      <w:r>
        <w:rPr>
          <w:rFonts w:cstheme="minorHAnsi"/>
          <w:sz w:val="36"/>
          <w:szCs w:val="36"/>
        </w:rPr>
        <w:t xml:space="preserve">non </w:t>
      </w:r>
      <w:r w:rsidR="00DA72DA" w:rsidRPr="00DA72DA">
        <w:rPr>
          <w:rFonts w:cstheme="minorHAnsi"/>
          <w:sz w:val="36"/>
          <w:szCs w:val="36"/>
        </w:rPr>
        <w:t xml:space="preserve">mancarono forme di conversione forzata di intere popolazioni: è il caso degli Idumei all’epoca di Giovanni Ircano, degli Itueri da parte di suo figlio Aristobulo I e del fallito tentativo di convertire i Moabiti da parte di Alessandro Ianneo. Comunque è solo con la legislazione rabbinica che si formulano le normative considerate tuttora vincolanti per l'ebraismo ortodosso. Esse, pur contemplando la figura del proselito, non incoraggiano l’azione proselitistica. </w:t>
      </w:r>
      <w:r w:rsidR="00DA72DA" w:rsidRPr="00264315">
        <w:rPr>
          <w:rFonts w:cstheme="minorHAnsi"/>
          <w:b/>
          <w:bCs/>
          <w:sz w:val="36"/>
          <w:szCs w:val="36"/>
        </w:rPr>
        <w:t>L’ebraismo quindi non si prefigge di modificare la propria condizione di essere e di pensarsi come un gruppo di minoranza</w:t>
      </w:r>
      <w:r>
        <w:rPr>
          <w:rFonts w:cstheme="minorHAnsi"/>
          <w:b/>
          <w:bCs/>
          <w:sz w:val="36"/>
          <w:szCs w:val="36"/>
        </w:rPr>
        <w:t xml:space="preserve"> rispetto ad altre grandi religioni </w:t>
      </w:r>
      <w:r w:rsidRPr="00264315">
        <w:rPr>
          <w:rFonts w:cstheme="minorHAnsi"/>
          <w:sz w:val="36"/>
          <w:szCs w:val="36"/>
        </w:rPr>
        <w:t>(mentre</w:t>
      </w:r>
      <w:r>
        <w:rPr>
          <w:rFonts w:cstheme="minorHAnsi"/>
          <w:sz w:val="36"/>
          <w:szCs w:val="36"/>
        </w:rPr>
        <w:t xml:space="preserve"> gli ebrei devono essere maggioranza all’interno dello Stato d’Israele).</w:t>
      </w:r>
      <w:r w:rsidR="00DA72DA" w:rsidRPr="00DA72DA">
        <w:rPr>
          <w:rFonts w:cstheme="minorHAnsi"/>
          <w:sz w:val="36"/>
          <w:szCs w:val="36"/>
        </w:rPr>
        <w:t xml:space="preserve"> </w:t>
      </w:r>
    </w:p>
    <w:p w14:paraId="619310E8" w14:textId="298FEF98" w:rsidR="00DA72DA" w:rsidRPr="00DA72DA" w:rsidRDefault="00DA72DA" w:rsidP="00CE777F">
      <w:pPr>
        <w:tabs>
          <w:tab w:val="left" w:pos="1701"/>
          <w:tab w:val="left" w:pos="2268"/>
        </w:tabs>
        <w:spacing w:after="0" w:line="240" w:lineRule="auto"/>
        <w:ind w:firstLine="284"/>
        <w:jc w:val="both"/>
        <w:rPr>
          <w:rFonts w:cstheme="minorHAnsi"/>
          <w:smallCaps/>
          <w:sz w:val="36"/>
          <w:szCs w:val="36"/>
        </w:rPr>
      </w:pPr>
      <w:r w:rsidRPr="00DA72DA">
        <w:rPr>
          <w:rFonts w:cstheme="minorHAnsi"/>
          <w:sz w:val="36"/>
          <w:szCs w:val="36"/>
        </w:rPr>
        <w:t xml:space="preserve"> All'interno della Bibbia ebraica ricorre più volte la parola </w:t>
      </w:r>
      <w:r w:rsidRPr="00DA72DA">
        <w:rPr>
          <w:rFonts w:cstheme="minorHAnsi"/>
          <w:i/>
          <w:sz w:val="36"/>
          <w:szCs w:val="36"/>
        </w:rPr>
        <w:t>gher</w:t>
      </w:r>
      <w:r w:rsidRPr="00DA72DA">
        <w:rPr>
          <w:rFonts w:cstheme="minorHAnsi"/>
          <w:sz w:val="36"/>
          <w:szCs w:val="36"/>
        </w:rPr>
        <w:t xml:space="preserve"> (plurale </w:t>
      </w:r>
      <w:r w:rsidRPr="00DA72DA">
        <w:rPr>
          <w:rFonts w:cstheme="minorHAnsi"/>
          <w:i/>
          <w:sz w:val="36"/>
          <w:szCs w:val="36"/>
        </w:rPr>
        <w:t>gherìm</w:t>
      </w:r>
      <w:r w:rsidRPr="00DA72DA">
        <w:rPr>
          <w:rFonts w:cstheme="minorHAnsi"/>
          <w:sz w:val="36"/>
          <w:szCs w:val="36"/>
        </w:rPr>
        <w:t xml:space="preserve">); essa deriva dal verbo </w:t>
      </w:r>
      <w:r w:rsidRPr="00DA72DA">
        <w:rPr>
          <w:rFonts w:cstheme="minorHAnsi"/>
          <w:i/>
          <w:sz w:val="36"/>
          <w:szCs w:val="36"/>
        </w:rPr>
        <w:t xml:space="preserve">gur </w:t>
      </w:r>
      <w:r w:rsidRPr="00DA72DA">
        <w:rPr>
          <w:rFonts w:cstheme="minorHAnsi"/>
          <w:sz w:val="36"/>
          <w:szCs w:val="36"/>
        </w:rPr>
        <w:t xml:space="preserve">che ha il significato di abitare presso una popolazione o un gruppo diverso dal proprio. Il </w:t>
      </w:r>
      <w:r w:rsidRPr="00DA72DA">
        <w:rPr>
          <w:rFonts w:cstheme="minorHAnsi"/>
          <w:i/>
          <w:sz w:val="36"/>
          <w:szCs w:val="36"/>
        </w:rPr>
        <w:t xml:space="preserve">gher </w:t>
      </w:r>
      <w:r w:rsidRPr="00DA72DA">
        <w:rPr>
          <w:rFonts w:cstheme="minorHAnsi"/>
          <w:sz w:val="36"/>
          <w:szCs w:val="36"/>
        </w:rPr>
        <w:t xml:space="preserve">è dunque lo straniero residente in terra altrui. Tali furono per esempio gli ebrei in Egitto (Es 22,20; 23,9); ciò vale anche per un gruppo non ebraico o un non ebreo residenti in terra d'Israele. Il libro del Levitico (19,34) prescrive di amare il </w:t>
      </w:r>
      <w:r w:rsidRPr="00DA72DA">
        <w:rPr>
          <w:rFonts w:cstheme="minorHAnsi"/>
          <w:i/>
          <w:sz w:val="36"/>
          <w:szCs w:val="36"/>
        </w:rPr>
        <w:t>gher</w:t>
      </w:r>
      <w:r w:rsidRPr="00DA72DA">
        <w:rPr>
          <w:rFonts w:cstheme="minorHAnsi"/>
          <w:sz w:val="36"/>
          <w:szCs w:val="36"/>
        </w:rPr>
        <w:t xml:space="preserve"> come se stessi «perché anche voi foste </w:t>
      </w:r>
      <w:r w:rsidRPr="00DA72DA">
        <w:rPr>
          <w:rFonts w:cstheme="minorHAnsi"/>
          <w:i/>
          <w:sz w:val="36"/>
          <w:szCs w:val="36"/>
        </w:rPr>
        <w:t>gherìm</w:t>
      </w:r>
      <w:r w:rsidRPr="00DA72DA">
        <w:rPr>
          <w:rFonts w:cstheme="minorHAnsi"/>
          <w:sz w:val="36"/>
          <w:szCs w:val="36"/>
        </w:rPr>
        <w:t xml:space="preserve"> in terra d'Egitto». Il discorso è dunque relativo, vale cioè per ebrei e non ebrei: entrambi posso essere </w:t>
      </w:r>
      <w:r w:rsidRPr="00DA72DA">
        <w:rPr>
          <w:rFonts w:cstheme="minorHAnsi"/>
          <w:i/>
          <w:sz w:val="36"/>
          <w:szCs w:val="36"/>
        </w:rPr>
        <w:t>gherìm</w:t>
      </w:r>
      <w:r w:rsidRPr="00DA72DA">
        <w:rPr>
          <w:rFonts w:cstheme="minorHAnsi"/>
          <w:sz w:val="36"/>
          <w:szCs w:val="36"/>
        </w:rPr>
        <w:t xml:space="preserve">. I Settanta rendono il termine </w:t>
      </w:r>
      <w:r w:rsidRPr="00DA72DA">
        <w:rPr>
          <w:rFonts w:cstheme="minorHAnsi"/>
          <w:i/>
          <w:sz w:val="36"/>
          <w:szCs w:val="36"/>
        </w:rPr>
        <w:t xml:space="preserve">gher </w:t>
      </w:r>
      <w:r w:rsidRPr="00DA72DA">
        <w:rPr>
          <w:rFonts w:cstheme="minorHAnsi"/>
          <w:sz w:val="36"/>
          <w:szCs w:val="36"/>
        </w:rPr>
        <w:t xml:space="preserve">con </w:t>
      </w:r>
      <w:r w:rsidRPr="00DA72DA">
        <w:rPr>
          <w:rFonts w:cstheme="minorHAnsi"/>
          <w:i/>
          <w:sz w:val="36"/>
          <w:szCs w:val="36"/>
        </w:rPr>
        <w:t>prosēlytos</w:t>
      </w:r>
      <w:r w:rsidRPr="00DA72DA">
        <w:rPr>
          <w:rFonts w:cstheme="minorHAnsi"/>
          <w:sz w:val="36"/>
          <w:szCs w:val="36"/>
        </w:rPr>
        <w:t>. Così facendo si tende a spostare il significato della parola da «straniero» a «proselito», in tal modo viene a ridimensionarsi il senso della bilateralità: gli ebrei possono essere stranieri in Egitto ma non proseliti nella terra del Nilo.</w:t>
      </w:r>
    </w:p>
    <w:p w14:paraId="61FC747D" w14:textId="77777777" w:rsidR="00DA72DA" w:rsidRPr="00DA72DA" w:rsidRDefault="00DA72DA" w:rsidP="00CE777F">
      <w:pPr>
        <w:spacing w:after="0" w:line="240" w:lineRule="auto"/>
        <w:jc w:val="both"/>
        <w:rPr>
          <w:rFonts w:cstheme="minorHAnsi"/>
          <w:smallCaps/>
          <w:sz w:val="36"/>
          <w:szCs w:val="36"/>
        </w:rPr>
      </w:pPr>
      <w:r w:rsidRPr="00DA72DA">
        <w:rPr>
          <w:rFonts w:cstheme="minorHAnsi"/>
          <w:sz w:val="36"/>
          <w:szCs w:val="36"/>
        </w:rPr>
        <w:t xml:space="preserve">    Il passaggio è indicativo in vista di una conversione intesa non già nel senso corrente del termine - vale a dire passaggio individuale da una religione (o da una non religione) a un'altra - bensì </w:t>
      </w:r>
      <w:r w:rsidRPr="00DA72DA">
        <w:rPr>
          <w:rFonts w:cstheme="minorHAnsi"/>
          <w:sz w:val="36"/>
          <w:szCs w:val="36"/>
        </w:rPr>
        <w:lastRenderedPageBreak/>
        <w:t xml:space="preserve">considerata come una forma di aggregazione al popolo ebraico. Le procedure e i riti attraverso i quali si formalizza il passaggio variano a seconda delle epoche, tuttavia resta costante l'idea che attraverso questi procedimenti si entri a far parte di un popolo. Il </w:t>
      </w:r>
      <w:r w:rsidRPr="00DA72DA">
        <w:rPr>
          <w:rFonts w:cstheme="minorHAnsi"/>
          <w:i/>
          <w:sz w:val="36"/>
          <w:szCs w:val="36"/>
        </w:rPr>
        <w:t xml:space="preserve">Talmud babilonese </w:t>
      </w:r>
      <w:r w:rsidRPr="00DA72DA">
        <w:rPr>
          <w:rStyle w:val="Rimandonotaapidipagina"/>
          <w:rFonts w:cstheme="minorHAnsi"/>
          <w:sz w:val="36"/>
          <w:szCs w:val="36"/>
        </w:rPr>
        <w:footnoteReference w:id="11"/>
      </w:r>
      <w:r w:rsidRPr="00DA72DA">
        <w:rPr>
          <w:rFonts w:cstheme="minorHAnsi"/>
          <w:i/>
          <w:sz w:val="36"/>
          <w:szCs w:val="36"/>
        </w:rPr>
        <w:t xml:space="preserve"> </w:t>
      </w:r>
      <w:r w:rsidRPr="00DA72DA">
        <w:rPr>
          <w:rFonts w:cstheme="minorHAnsi"/>
          <w:sz w:val="36"/>
          <w:szCs w:val="36"/>
        </w:rPr>
        <w:t xml:space="preserve">riporta una formula della cerimonia di conversione, in ebraico chiamata, non a caso, </w:t>
      </w:r>
      <w:r w:rsidRPr="00DA72DA">
        <w:rPr>
          <w:rFonts w:cstheme="minorHAnsi"/>
          <w:i/>
          <w:sz w:val="36"/>
          <w:szCs w:val="36"/>
        </w:rPr>
        <w:t xml:space="preserve">ghiur </w:t>
      </w:r>
      <w:r w:rsidRPr="00DA72DA">
        <w:rPr>
          <w:rFonts w:cstheme="minorHAnsi"/>
          <w:sz w:val="36"/>
          <w:szCs w:val="36"/>
        </w:rPr>
        <w:t xml:space="preserve">(siamo sempre nell'ambito della stessa radice di </w:t>
      </w:r>
      <w:r w:rsidRPr="00DA72DA">
        <w:rPr>
          <w:rFonts w:cstheme="minorHAnsi"/>
          <w:i/>
          <w:sz w:val="36"/>
          <w:szCs w:val="36"/>
        </w:rPr>
        <w:t>gher</w:t>
      </w:r>
      <w:r w:rsidRPr="00DA72DA">
        <w:rPr>
          <w:rFonts w:cstheme="minorHAnsi"/>
          <w:sz w:val="36"/>
          <w:szCs w:val="36"/>
        </w:rPr>
        <w:t>). Quanto va messo in rilievo è che essa non nomina mai né Dio, né la Torah, non impone alcuna rinuncia agli idoli o qualcosa del genere; si chiede solo al candidato se è consapevole di aggregarsi a un popolo maltrattato e oppresso. A questa domanda il proselito deve rispondere: «sì, lo so e ne sono indegno».</w:t>
      </w:r>
    </w:p>
    <w:p w14:paraId="2D0DC1F1" w14:textId="318AAA6B" w:rsidR="00DA72DA" w:rsidRPr="00DA72DA" w:rsidRDefault="00DA72DA" w:rsidP="00CE777F">
      <w:pPr>
        <w:spacing w:after="0" w:line="240" w:lineRule="auto"/>
        <w:jc w:val="both"/>
        <w:rPr>
          <w:rFonts w:cstheme="minorHAnsi"/>
          <w:smallCaps/>
          <w:sz w:val="36"/>
          <w:szCs w:val="36"/>
        </w:rPr>
      </w:pPr>
      <w:r w:rsidRPr="00DA72DA">
        <w:rPr>
          <w:rFonts w:cstheme="minorHAnsi"/>
          <w:sz w:val="36"/>
          <w:szCs w:val="36"/>
        </w:rPr>
        <w:t xml:space="preserve">   Nel passo talmudico si parla di un singolo proselito, tuttavia in passato e anche in epoca recente </w:t>
      </w:r>
      <w:r w:rsidRPr="00DA72DA">
        <w:rPr>
          <w:rStyle w:val="Rimandonotaapidipagina"/>
          <w:rFonts w:cstheme="minorHAnsi"/>
          <w:sz w:val="36"/>
          <w:szCs w:val="36"/>
        </w:rPr>
        <w:footnoteReference w:id="12"/>
      </w:r>
      <w:r w:rsidRPr="00DA72DA">
        <w:rPr>
          <w:rFonts w:cstheme="minorHAnsi"/>
          <w:sz w:val="36"/>
          <w:szCs w:val="36"/>
        </w:rPr>
        <w:t xml:space="preserve">,  sono attestati esempi di adesione collettiva al popolo ebraico, atti che ben si inseriscono nello spirito di aggregazione di cui si diceva. Questa dinamica solleva di nuovo la questione fondamentale: l'ebraismo è solo una religione? In altri termini, la conversione all'ebraismo rappresenta il passaggio da una fede religiosa a un'altra o costituisce piuttosto il processo attraverso il quale si è accolti a far parte del popolo ebraico? Va da sé che il problema viene largamente a ridefinirsi in epoca contemporanea quando si manifestano, in maniera sempre più consistente, modi non religiosi di essere e di definirsi ebrei. In passato prevaleva invece la visione </w:t>
      </w:r>
      <w:r w:rsidRPr="00DA72DA">
        <w:rPr>
          <w:rFonts w:cstheme="minorHAnsi"/>
          <w:sz w:val="36"/>
          <w:szCs w:val="36"/>
        </w:rPr>
        <w:lastRenderedPageBreak/>
        <w:t>in base alla quale il popolo ebraico era definito come tale a causa della sua accettazione collettiva del giogo della Torah, cioè della Legge che regolava la vita della collettività ebraica. Secondo la prospettiva antica espressa da Giuseppe Flavio</w:t>
      </w:r>
      <w:r w:rsidR="00264315">
        <w:rPr>
          <w:rFonts w:cstheme="minorHAnsi"/>
          <w:sz w:val="36"/>
          <w:szCs w:val="36"/>
        </w:rPr>
        <w:t xml:space="preserve"> (37-38 circa </w:t>
      </w:r>
      <w:r w:rsidR="009F0A79">
        <w:rPr>
          <w:rFonts w:cstheme="minorHAnsi"/>
          <w:sz w:val="36"/>
          <w:szCs w:val="36"/>
        </w:rPr>
        <w:t>–</w:t>
      </w:r>
      <w:r w:rsidR="00264315">
        <w:rPr>
          <w:rFonts w:cstheme="minorHAnsi"/>
          <w:sz w:val="36"/>
          <w:szCs w:val="36"/>
        </w:rPr>
        <w:t xml:space="preserve"> 1</w:t>
      </w:r>
      <w:r w:rsidR="009F0A79">
        <w:rPr>
          <w:rFonts w:cstheme="minorHAnsi"/>
          <w:sz w:val="36"/>
          <w:szCs w:val="36"/>
        </w:rPr>
        <w:t>00 circa)</w:t>
      </w:r>
      <w:r w:rsidRPr="00DA72DA">
        <w:rPr>
          <w:rFonts w:cstheme="minorHAnsi"/>
          <w:sz w:val="36"/>
          <w:szCs w:val="36"/>
        </w:rPr>
        <w:t>, gli ebrei «costituiscono un popolo - o piuttosto una ‛nazione’ - che non si mescola ad alcun’altra e che si distingue da tutti per la sua Legge»</w:t>
      </w:r>
      <w:r w:rsidRPr="00DA72DA">
        <w:rPr>
          <w:rStyle w:val="Rimandonotaapidipagina"/>
          <w:rFonts w:cstheme="minorHAnsi"/>
          <w:sz w:val="36"/>
          <w:szCs w:val="36"/>
        </w:rPr>
        <w:footnoteReference w:id="13"/>
      </w:r>
      <w:r w:rsidRPr="00DA72DA">
        <w:rPr>
          <w:rFonts w:cstheme="minorHAnsi"/>
          <w:sz w:val="36"/>
          <w:szCs w:val="36"/>
        </w:rPr>
        <w:t>.</w:t>
      </w:r>
    </w:p>
    <w:p w14:paraId="03D60EED" w14:textId="77777777" w:rsidR="00DA72DA" w:rsidRPr="00DA72DA" w:rsidRDefault="00DA72DA" w:rsidP="00CE777F">
      <w:pPr>
        <w:spacing w:after="0" w:line="240" w:lineRule="auto"/>
        <w:rPr>
          <w:rFonts w:cstheme="minorHAnsi"/>
          <w:smallCaps/>
          <w:sz w:val="36"/>
          <w:szCs w:val="36"/>
        </w:rPr>
      </w:pPr>
    </w:p>
    <w:p w14:paraId="1E803160" w14:textId="6B77EAA1" w:rsidR="00DA72DA" w:rsidRPr="00B01358" w:rsidRDefault="00DA72DA" w:rsidP="00B01358">
      <w:pPr>
        <w:spacing w:after="0" w:line="240" w:lineRule="auto"/>
        <w:jc w:val="both"/>
        <w:rPr>
          <w:rFonts w:cstheme="minorHAnsi"/>
          <w:b/>
          <w:bCs/>
          <w:smallCaps/>
          <w:color w:val="C45911" w:themeColor="accent2" w:themeShade="BF"/>
          <w:sz w:val="36"/>
          <w:szCs w:val="36"/>
        </w:rPr>
      </w:pPr>
      <w:r w:rsidRPr="00B01358">
        <w:rPr>
          <w:rFonts w:cstheme="minorHAnsi"/>
          <w:b/>
          <w:bCs/>
          <w:sz w:val="36"/>
          <w:szCs w:val="36"/>
        </w:rPr>
        <w:t xml:space="preserve">    </w:t>
      </w:r>
      <w:r w:rsidR="00B01358" w:rsidRPr="00B01358">
        <w:rPr>
          <w:rFonts w:cstheme="minorHAnsi"/>
          <w:b/>
          <w:bCs/>
          <w:color w:val="C45911" w:themeColor="accent2" w:themeShade="BF"/>
          <w:sz w:val="36"/>
          <w:szCs w:val="36"/>
        </w:rPr>
        <w:t>Il principio matrilineare</w:t>
      </w:r>
    </w:p>
    <w:p w14:paraId="36F2E2C1" w14:textId="00090281" w:rsidR="00DA72DA" w:rsidRPr="00DA72DA" w:rsidRDefault="00DA72DA" w:rsidP="00CE777F">
      <w:pPr>
        <w:spacing w:after="0" w:line="240" w:lineRule="auto"/>
        <w:jc w:val="both"/>
        <w:rPr>
          <w:rFonts w:cstheme="minorHAnsi"/>
          <w:smallCaps/>
          <w:sz w:val="36"/>
          <w:szCs w:val="36"/>
        </w:rPr>
      </w:pPr>
      <w:r w:rsidRPr="00DA72DA">
        <w:rPr>
          <w:rFonts w:cstheme="minorHAnsi"/>
          <w:sz w:val="36"/>
          <w:szCs w:val="36"/>
        </w:rPr>
        <w:t xml:space="preserve"> È </w:t>
      </w:r>
      <w:r w:rsidR="00CF0366">
        <w:rPr>
          <w:rFonts w:cstheme="minorHAnsi"/>
          <w:sz w:val="36"/>
          <w:szCs w:val="36"/>
        </w:rPr>
        <w:t>fondamentale</w:t>
      </w:r>
      <w:r w:rsidRPr="00DA72DA">
        <w:rPr>
          <w:rFonts w:cstheme="minorHAnsi"/>
          <w:sz w:val="36"/>
          <w:szCs w:val="36"/>
        </w:rPr>
        <w:t xml:space="preserve"> prendere atto che esiste un pluralismo normativo diacronico e sincronico per stabilire quali siano i confini dell'ebraicità e quindi della conversione.</w:t>
      </w:r>
    </w:p>
    <w:p w14:paraId="459B0550" w14:textId="77777777" w:rsidR="00CF0366" w:rsidRDefault="00DA72DA" w:rsidP="00CE777F">
      <w:pPr>
        <w:spacing w:after="0" w:line="240" w:lineRule="auto"/>
        <w:jc w:val="both"/>
        <w:rPr>
          <w:rFonts w:cstheme="minorHAnsi"/>
          <w:sz w:val="36"/>
          <w:szCs w:val="36"/>
        </w:rPr>
      </w:pPr>
      <w:r w:rsidRPr="00DA72DA">
        <w:rPr>
          <w:rFonts w:cstheme="minorHAnsi"/>
          <w:sz w:val="36"/>
          <w:szCs w:val="36"/>
        </w:rPr>
        <w:t xml:space="preserve">    L'ebraismo </w:t>
      </w:r>
      <w:r w:rsidR="00CF0366">
        <w:rPr>
          <w:rFonts w:cstheme="minorHAnsi"/>
          <w:sz w:val="36"/>
          <w:szCs w:val="36"/>
        </w:rPr>
        <w:t xml:space="preserve">rabbinico </w:t>
      </w:r>
      <w:r w:rsidRPr="00DA72DA">
        <w:rPr>
          <w:rFonts w:cstheme="minorHAnsi"/>
          <w:sz w:val="36"/>
          <w:szCs w:val="36"/>
        </w:rPr>
        <w:t>non prevede l'effettuazione di matrimoni misti</w:t>
      </w:r>
      <w:r w:rsidR="00CF0366">
        <w:rPr>
          <w:rFonts w:cstheme="minorHAnsi"/>
          <w:sz w:val="36"/>
          <w:szCs w:val="36"/>
        </w:rPr>
        <w:t>: un ebreo deve sposare solo un’ebrea e viceversa.</w:t>
      </w:r>
      <w:r w:rsidRPr="00DA72DA">
        <w:rPr>
          <w:rFonts w:cstheme="minorHAnsi"/>
          <w:sz w:val="36"/>
          <w:szCs w:val="36"/>
        </w:rPr>
        <w:t xml:space="preserve"> </w:t>
      </w:r>
      <w:r w:rsidR="00CF0366">
        <w:rPr>
          <w:rFonts w:cstheme="minorHAnsi"/>
          <w:sz w:val="36"/>
          <w:szCs w:val="36"/>
        </w:rPr>
        <w:t>T</w:t>
      </w:r>
      <w:r w:rsidRPr="00DA72DA">
        <w:rPr>
          <w:rFonts w:cstheme="minorHAnsi"/>
          <w:sz w:val="36"/>
          <w:szCs w:val="36"/>
        </w:rPr>
        <w:t>uttavia, nel caso in cui avvengano</w:t>
      </w:r>
      <w:r w:rsidR="00CF0366">
        <w:rPr>
          <w:rFonts w:cstheme="minorHAnsi"/>
          <w:sz w:val="36"/>
          <w:szCs w:val="36"/>
        </w:rPr>
        <w:t xml:space="preserve"> matrimoni misti</w:t>
      </w:r>
      <w:r w:rsidRPr="00DA72DA">
        <w:rPr>
          <w:rFonts w:cstheme="minorHAnsi"/>
          <w:sz w:val="36"/>
          <w:szCs w:val="36"/>
        </w:rPr>
        <w:t xml:space="preserve">, a prevalere è la parte femminile: è ebreo chi è nato da madre ebrea. </w:t>
      </w:r>
    </w:p>
    <w:p w14:paraId="68A81E3F" w14:textId="529ED673" w:rsidR="00A51F39" w:rsidRDefault="00DA72DA" w:rsidP="00CE777F">
      <w:pPr>
        <w:spacing w:after="0" w:line="240" w:lineRule="auto"/>
        <w:jc w:val="both"/>
        <w:rPr>
          <w:rFonts w:cstheme="minorHAnsi"/>
          <w:sz w:val="36"/>
          <w:szCs w:val="36"/>
        </w:rPr>
      </w:pPr>
      <w:r w:rsidRPr="00DA72DA">
        <w:rPr>
          <w:rFonts w:cstheme="minorHAnsi"/>
          <w:sz w:val="36"/>
          <w:szCs w:val="36"/>
        </w:rPr>
        <w:t xml:space="preserve">La normativa non trova riscontri in </w:t>
      </w:r>
      <w:r w:rsidRPr="00A51F39">
        <w:rPr>
          <w:rFonts w:cstheme="minorHAnsi"/>
          <w:b/>
          <w:bCs/>
          <w:sz w:val="36"/>
          <w:szCs w:val="36"/>
        </w:rPr>
        <w:t>epoca biblica</w:t>
      </w:r>
      <w:r w:rsidRPr="00DA72DA">
        <w:rPr>
          <w:rFonts w:cstheme="minorHAnsi"/>
          <w:sz w:val="36"/>
          <w:szCs w:val="36"/>
        </w:rPr>
        <w:t xml:space="preserve"> dove la discendenza è chiaramente </w:t>
      </w:r>
      <w:r w:rsidRPr="00A51F39">
        <w:rPr>
          <w:rFonts w:cstheme="minorHAnsi"/>
          <w:b/>
          <w:bCs/>
          <w:sz w:val="36"/>
          <w:szCs w:val="36"/>
        </w:rPr>
        <w:t>patrilineare</w:t>
      </w:r>
      <w:r w:rsidRPr="00DA72DA">
        <w:rPr>
          <w:rFonts w:cstheme="minorHAnsi"/>
          <w:sz w:val="36"/>
          <w:szCs w:val="36"/>
        </w:rPr>
        <w:t xml:space="preserve">. </w:t>
      </w:r>
      <w:r w:rsidR="00CF0366">
        <w:rPr>
          <w:rFonts w:cstheme="minorHAnsi"/>
          <w:sz w:val="36"/>
          <w:szCs w:val="36"/>
        </w:rPr>
        <w:t>Basti pensare a i casi di Giuseppe che sposa Asenat figlia di Potifera sacerdote di Eli</w:t>
      </w:r>
      <w:r w:rsidR="00A51F39">
        <w:rPr>
          <w:rFonts w:cstheme="minorHAnsi"/>
          <w:sz w:val="36"/>
          <w:szCs w:val="36"/>
        </w:rPr>
        <w:t>o</w:t>
      </w:r>
      <w:r w:rsidR="00CF0366">
        <w:rPr>
          <w:rFonts w:cstheme="minorHAnsi"/>
          <w:sz w:val="36"/>
          <w:szCs w:val="36"/>
        </w:rPr>
        <w:t xml:space="preserve">poli (Gen </w:t>
      </w:r>
      <w:r w:rsidR="00A51F39">
        <w:rPr>
          <w:rFonts w:cstheme="minorHAnsi"/>
          <w:sz w:val="36"/>
          <w:szCs w:val="36"/>
        </w:rPr>
        <w:t>41, 45) i suoi due figli Manasse e Efraim sono capostipiti di due tribù d’Israele (Gen 45,50-52; 48) o a Mosè che sposa la madianita Sipporà (Es 2, 21; 4,24-26).</w:t>
      </w:r>
    </w:p>
    <w:p w14:paraId="1EF1C667" w14:textId="386E4B60" w:rsidR="00DA72DA" w:rsidRPr="00DA72DA" w:rsidRDefault="00A51F39" w:rsidP="00CE777F">
      <w:pPr>
        <w:spacing w:after="0" w:line="240" w:lineRule="auto"/>
        <w:jc w:val="both"/>
        <w:rPr>
          <w:rFonts w:cstheme="minorHAnsi"/>
          <w:smallCaps/>
          <w:sz w:val="36"/>
          <w:szCs w:val="36"/>
        </w:rPr>
      </w:pPr>
      <w:r>
        <w:rPr>
          <w:rFonts w:cstheme="minorHAnsi"/>
          <w:sz w:val="36"/>
          <w:szCs w:val="36"/>
        </w:rPr>
        <w:t xml:space="preserve"> </w:t>
      </w:r>
      <w:r w:rsidR="00DA72DA" w:rsidRPr="00DA72DA">
        <w:rPr>
          <w:rFonts w:cstheme="minorHAnsi"/>
          <w:sz w:val="36"/>
          <w:szCs w:val="36"/>
        </w:rPr>
        <w:t xml:space="preserve">Cosa ha indotto al cambiamento? Nel primo secolo d. C. la questione risultava ancora fluida; in seno al giudaismo sembravano coabitare più norme. Per qualche studioso in quel periodo la patrilinearità si sarebbe mantenuta in terra d'Israele, mentre la matrilinearità si sarebbe affermata </w:t>
      </w:r>
      <w:r w:rsidR="00DA72DA" w:rsidRPr="00DA72DA">
        <w:rPr>
          <w:rFonts w:cstheme="minorHAnsi"/>
          <w:sz w:val="36"/>
          <w:szCs w:val="36"/>
        </w:rPr>
        <w:lastRenderedPageBreak/>
        <w:t>nella Diaspora</w:t>
      </w:r>
      <w:r>
        <w:rPr>
          <w:rFonts w:cstheme="minorHAnsi"/>
          <w:sz w:val="36"/>
          <w:szCs w:val="36"/>
        </w:rPr>
        <w:t>.</w:t>
      </w:r>
      <w:r w:rsidR="00DA72DA" w:rsidRPr="00DA72DA">
        <w:rPr>
          <w:rStyle w:val="Rimandonotaapidipagina"/>
          <w:rFonts w:cstheme="minorHAnsi"/>
          <w:sz w:val="36"/>
          <w:szCs w:val="36"/>
        </w:rPr>
        <w:footnoteReference w:id="14"/>
      </w:r>
      <w:r w:rsidR="00DA72DA" w:rsidRPr="00DA72DA">
        <w:rPr>
          <w:rFonts w:cstheme="minorHAnsi"/>
          <w:sz w:val="36"/>
          <w:szCs w:val="36"/>
        </w:rPr>
        <w:t xml:space="preserve"> La questione non è tuttavia certa. Anche il caso, spesso citato, di Timoteo fatto circoncidere da Paolo perché di padre greco (Atti degli Apostoli 16, 1-3), non prova in modo assoluto il principio della matrilinearità. </w:t>
      </w:r>
    </w:p>
    <w:p w14:paraId="3C55316A" w14:textId="2B5EFF45" w:rsidR="00DA72DA" w:rsidRPr="00DA72DA" w:rsidRDefault="00DA72DA" w:rsidP="00CE777F">
      <w:pPr>
        <w:spacing w:after="0" w:line="240" w:lineRule="auto"/>
        <w:jc w:val="both"/>
        <w:rPr>
          <w:rFonts w:cstheme="minorHAnsi"/>
          <w:smallCaps/>
          <w:sz w:val="36"/>
          <w:szCs w:val="36"/>
        </w:rPr>
      </w:pPr>
      <w:r w:rsidRPr="00DA72DA">
        <w:rPr>
          <w:rFonts w:cstheme="minorHAnsi"/>
          <w:sz w:val="36"/>
          <w:szCs w:val="36"/>
        </w:rPr>
        <w:t xml:space="preserve">   Altre ricerche si muovono in una direzione diversa. Nell'ambito rabbinico il principio della matrilinearità sarebbe sorto come una specie di «esercizio di scuola» privo di sostanziali riscontri nella situazione pratica. Sarebbe divenuta una vera e propria regola pratica solo in epoche a noi assai più prossime, quando cioè il fenomeno dei matrimoni misti ebbe larghi riscontri sul piano fattuale. Il passo decisivo per comprendere questo orizzonte si trova nel trattato </w:t>
      </w:r>
      <w:r w:rsidRPr="00DA72DA">
        <w:rPr>
          <w:rFonts w:cstheme="minorHAnsi"/>
          <w:i/>
          <w:sz w:val="36"/>
          <w:szCs w:val="36"/>
        </w:rPr>
        <w:t>Qiddushin</w:t>
      </w:r>
      <w:r w:rsidRPr="00DA72DA">
        <w:rPr>
          <w:rFonts w:cstheme="minorHAnsi"/>
          <w:sz w:val="36"/>
          <w:szCs w:val="36"/>
        </w:rPr>
        <w:t xml:space="preserve"> 3,12 della </w:t>
      </w:r>
      <w:r w:rsidRPr="00DA72DA">
        <w:rPr>
          <w:rFonts w:cstheme="minorHAnsi"/>
          <w:i/>
          <w:sz w:val="36"/>
          <w:szCs w:val="36"/>
        </w:rPr>
        <w:t>Mishnah</w:t>
      </w:r>
      <w:r w:rsidRPr="00DA72DA">
        <w:rPr>
          <w:rFonts w:cstheme="minorHAnsi"/>
          <w:sz w:val="36"/>
          <w:szCs w:val="36"/>
        </w:rPr>
        <w:t xml:space="preserve"> (codificazione canonica della Legge orale chiusa tra il 200 e il 250 d.C.). Secondo questa visione, nel caso di un matrimonio improprio, il figlio prende su di sé la qualità della meno elevata tra le due componenti. Per esempio, secondo le regole bibliche (Levitico 21,7), a un sacerdote non è consentito sposare una donna vedova o ripudiata dal primo marito; se egli contrae ugualmente un simile matrimonio il figlio che nasce resta ebreo a tutti gli effetti, tuttavia perde lo statuto sacerdotale (</w:t>
      </w:r>
      <w:r w:rsidRPr="00DA72DA">
        <w:rPr>
          <w:rFonts w:cstheme="minorHAnsi"/>
          <w:i/>
          <w:sz w:val="36"/>
          <w:szCs w:val="36"/>
        </w:rPr>
        <w:t>kohenut</w:t>
      </w:r>
      <w:r w:rsidRPr="00DA72DA">
        <w:rPr>
          <w:rFonts w:cstheme="minorHAnsi"/>
          <w:sz w:val="36"/>
          <w:szCs w:val="36"/>
        </w:rPr>
        <w:t>) proprio del padre. Di casi del genere ce ne sono parecchi altri. Quindi non è affatto detto che lo statuto ebraico del figlio nato da una madre ebrea e da un padre non ebreo sancisca una specie di primato femminile. Né si può escludere l'influenza esercitata dal diritto romano</w:t>
      </w:r>
      <w:r w:rsidR="00A51F39">
        <w:rPr>
          <w:rFonts w:cstheme="minorHAnsi"/>
          <w:sz w:val="36"/>
          <w:szCs w:val="36"/>
        </w:rPr>
        <w:t xml:space="preserve"> («mater semper certa est»)</w:t>
      </w:r>
      <w:r w:rsidRPr="00DA72DA">
        <w:rPr>
          <w:rFonts w:cstheme="minorHAnsi"/>
          <w:sz w:val="36"/>
          <w:szCs w:val="36"/>
        </w:rPr>
        <w:t xml:space="preserve"> sul mutamento proposto dai rabbi</w:t>
      </w:r>
      <w:r w:rsidR="00A51F39">
        <w:rPr>
          <w:rFonts w:cstheme="minorHAnsi"/>
          <w:sz w:val="36"/>
          <w:szCs w:val="36"/>
        </w:rPr>
        <w:t>.</w:t>
      </w:r>
      <w:r w:rsidRPr="00DA72DA">
        <w:rPr>
          <w:rStyle w:val="Rimandonotaapidipagina"/>
          <w:rFonts w:cstheme="minorHAnsi"/>
          <w:sz w:val="36"/>
          <w:szCs w:val="36"/>
        </w:rPr>
        <w:footnoteReference w:id="15"/>
      </w:r>
      <w:r w:rsidRPr="00DA72DA">
        <w:rPr>
          <w:rFonts w:cstheme="minorHAnsi"/>
          <w:sz w:val="36"/>
          <w:szCs w:val="36"/>
        </w:rPr>
        <w:t xml:space="preserve"> </w:t>
      </w:r>
    </w:p>
    <w:p w14:paraId="2B557ABD" w14:textId="77777777" w:rsidR="00DA72DA" w:rsidRPr="00DA72DA" w:rsidRDefault="00DA72DA" w:rsidP="00CE777F">
      <w:pPr>
        <w:spacing w:after="0" w:line="240" w:lineRule="auto"/>
        <w:jc w:val="both"/>
        <w:rPr>
          <w:rFonts w:cstheme="minorHAnsi"/>
          <w:smallCaps/>
          <w:sz w:val="36"/>
          <w:szCs w:val="36"/>
        </w:rPr>
      </w:pPr>
      <w:r w:rsidRPr="00DA72DA">
        <w:rPr>
          <w:rFonts w:cstheme="minorHAnsi"/>
          <w:sz w:val="36"/>
          <w:szCs w:val="36"/>
        </w:rPr>
        <w:lastRenderedPageBreak/>
        <w:t xml:space="preserve">   Nella </w:t>
      </w:r>
      <w:r w:rsidRPr="00DA72DA">
        <w:rPr>
          <w:rFonts w:cstheme="minorHAnsi"/>
          <w:i/>
          <w:sz w:val="36"/>
          <w:szCs w:val="36"/>
        </w:rPr>
        <w:t>halakàh</w:t>
      </w:r>
      <w:r w:rsidRPr="00DA72DA">
        <w:rPr>
          <w:rFonts w:cstheme="minorHAnsi"/>
          <w:sz w:val="36"/>
          <w:szCs w:val="36"/>
        </w:rPr>
        <w:t xml:space="preserve"> si discute sulle norme per entrare a far parte del popolo ebraico ma non si prendono in considerazione quelle preposte all'uscita da esso. Se la Legge stabilisce che si nasce ebrei tali si resta, caso mai si potrà essere considerati dei “cattivi” ebrei, ma non si perderà mai il proprio statuto. La situazione muta per molte ragioni in epoca moderna. Lì appaiono via via processi di assimilazione e moltiplicazione dei matrimoni misti, di laicizzazione degli stili di vita anche all'interno dell'ebraismo, inoltre fanno la loro comparsa legislazioni antiebraiche di stampo razziale che definiscono dall'esterno chi è ebreo. Infine vanno registrati la nascita e lo sviluppo della legislazione israeliana.</w:t>
      </w:r>
    </w:p>
    <w:p w14:paraId="0952663A" w14:textId="1616C9A2" w:rsidR="00DA72DA" w:rsidRPr="00DA72DA" w:rsidRDefault="00DA72DA" w:rsidP="00CE777F">
      <w:pPr>
        <w:spacing w:after="0" w:line="240" w:lineRule="auto"/>
        <w:jc w:val="both"/>
        <w:rPr>
          <w:rFonts w:cstheme="minorHAnsi"/>
          <w:smallCaps/>
          <w:sz w:val="36"/>
          <w:szCs w:val="36"/>
        </w:rPr>
      </w:pPr>
      <w:r w:rsidRPr="00DA72DA">
        <w:rPr>
          <w:rFonts w:cstheme="minorHAnsi"/>
          <w:sz w:val="36"/>
          <w:szCs w:val="36"/>
        </w:rPr>
        <w:t xml:space="preserve">   Il 1958 fu un anno cruciale per la definizione in Israele della legge rispetto a chi è ebreo. Tra l'altro, proprio in quell'anno David Ben Gurion rivolse a «cinquanta saggi» la domanda di definire chi fosse ebreo</w:t>
      </w:r>
      <w:r w:rsidRPr="00DA72DA">
        <w:rPr>
          <w:rStyle w:val="Rimandonotaapidipagina"/>
          <w:rFonts w:cstheme="minorHAnsi"/>
          <w:sz w:val="36"/>
          <w:szCs w:val="36"/>
        </w:rPr>
        <w:footnoteReference w:id="16"/>
      </w:r>
      <w:r w:rsidRPr="00DA72DA">
        <w:rPr>
          <w:rFonts w:cstheme="minorHAnsi"/>
          <w:sz w:val="36"/>
          <w:szCs w:val="36"/>
        </w:rPr>
        <w:t>. Tuttavia, per comprendere meglio la situazione di allora, bisogna compiere un passo indietro. Israele non ha tuttora una carta costituzionale scritta. Essa è sostituita da una serie di leggi fondamentali</w:t>
      </w:r>
      <w:r w:rsidR="00026469">
        <w:rPr>
          <w:rFonts w:cstheme="minorHAnsi"/>
          <w:sz w:val="36"/>
          <w:szCs w:val="36"/>
        </w:rPr>
        <w:t>.</w:t>
      </w:r>
      <w:r w:rsidRPr="00DA72DA">
        <w:rPr>
          <w:rStyle w:val="Rimandonotaapidipagina"/>
          <w:rFonts w:cstheme="minorHAnsi"/>
          <w:sz w:val="36"/>
          <w:szCs w:val="36"/>
        </w:rPr>
        <w:footnoteReference w:id="17"/>
      </w:r>
      <w:r w:rsidRPr="00DA72DA">
        <w:rPr>
          <w:rFonts w:cstheme="minorHAnsi"/>
          <w:sz w:val="36"/>
          <w:szCs w:val="36"/>
        </w:rPr>
        <w:t xml:space="preserve"> Tuttavia alcuni degli atti giuridici più qualificanti non entrano in quest’ambito. Tale è, per esempio, la «legge del ritorno», la quale, nel suo complesso, esemplifica assai bene il nodo del rapporto che lega laicità e ortodossia. La legge fu approvata nel 1950 e integrata sia nel 1954 sia nel 1970. Il suo primo articolo recita: «ogni ebreo ha il diritto di immigrare in Israele»</w:t>
      </w:r>
      <w:r w:rsidR="00026469">
        <w:rPr>
          <w:rFonts w:cstheme="minorHAnsi"/>
          <w:sz w:val="36"/>
          <w:szCs w:val="36"/>
        </w:rPr>
        <w:t>.</w:t>
      </w:r>
      <w:r w:rsidRPr="00DA72DA">
        <w:rPr>
          <w:rFonts w:cstheme="minorHAnsi"/>
          <w:sz w:val="36"/>
          <w:szCs w:val="36"/>
        </w:rPr>
        <w:t xml:space="preserve"> </w:t>
      </w:r>
      <w:r w:rsidRPr="00DA72DA">
        <w:rPr>
          <w:rStyle w:val="Rimandonotaapidipagina"/>
          <w:rFonts w:cstheme="minorHAnsi"/>
          <w:sz w:val="36"/>
          <w:szCs w:val="36"/>
        </w:rPr>
        <w:footnoteReference w:id="18"/>
      </w:r>
    </w:p>
    <w:p w14:paraId="39287013" w14:textId="0246FB5D" w:rsidR="00DA72DA" w:rsidRPr="00DA72DA" w:rsidRDefault="00DA72DA" w:rsidP="00CE777F">
      <w:pPr>
        <w:spacing w:after="0" w:line="240" w:lineRule="auto"/>
        <w:jc w:val="both"/>
        <w:rPr>
          <w:rFonts w:cstheme="minorHAnsi"/>
          <w:smallCaps/>
          <w:sz w:val="36"/>
          <w:szCs w:val="36"/>
        </w:rPr>
      </w:pPr>
      <w:r w:rsidRPr="00DA72DA">
        <w:rPr>
          <w:rFonts w:cstheme="minorHAnsi"/>
          <w:sz w:val="36"/>
          <w:szCs w:val="36"/>
        </w:rPr>
        <w:lastRenderedPageBreak/>
        <w:t xml:space="preserve">   Una delle conseguenze di questa scelta è che la definizione di ebreo faccia parte costitutiva della legislazione statale</w:t>
      </w:r>
      <w:r w:rsidR="00026469">
        <w:rPr>
          <w:rFonts w:cstheme="minorHAnsi"/>
          <w:sz w:val="36"/>
          <w:szCs w:val="36"/>
        </w:rPr>
        <w:t xml:space="preserve"> israeliana</w:t>
      </w:r>
      <w:r w:rsidRPr="00DA72DA">
        <w:rPr>
          <w:rFonts w:cstheme="minorHAnsi"/>
          <w:sz w:val="36"/>
          <w:szCs w:val="36"/>
        </w:rPr>
        <w:t xml:space="preserve">. A iniziare dall’epoca dell’emancipazione l’interrogativo «chi è ebreo?» ha costituito un problema risolto spesso in un modo soggettivo. Posto, però, in un contesto legislativo, esso si trasforma da questione culturale (o esistenziale) in argomento politico e giuridico. La definizione, quindi, non può essere lasciata nel dubbio, ma deve essere, più o meno convenzionalmente, stabilita. In Israele ci si trova, dunque, di fronte a una legge di uno Stato, con caratteristiche laiche e democratiche, obbligato a determinare chi è ebreo; fatto inedito che non trova corrispondenza in nessun altro sistema liberal-democratico. Di fronte a questa situazione la legislazione israeliana avrebbe potuto adeguarsi </w:t>
      </w:r>
      <w:r w:rsidRPr="00DA72DA">
        <w:rPr>
          <w:rFonts w:cstheme="minorHAnsi"/>
          <w:i/>
          <w:iCs/>
          <w:sz w:val="36"/>
          <w:szCs w:val="36"/>
        </w:rPr>
        <w:t>in toto</w:t>
      </w:r>
      <w:r w:rsidRPr="00DA72DA">
        <w:rPr>
          <w:rFonts w:cstheme="minorHAnsi"/>
          <w:sz w:val="36"/>
          <w:szCs w:val="36"/>
        </w:rPr>
        <w:t xml:space="preserve"> a quella rabbinica o, al contrario, optare per altre strade. </w:t>
      </w:r>
    </w:p>
    <w:p w14:paraId="5F2558D2" w14:textId="77777777" w:rsidR="00026469" w:rsidRDefault="00DA72DA" w:rsidP="00CE777F">
      <w:pPr>
        <w:spacing w:after="0" w:line="240" w:lineRule="auto"/>
        <w:jc w:val="both"/>
        <w:rPr>
          <w:rFonts w:cstheme="minorHAnsi"/>
          <w:sz w:val="36"/>
          <w:szCs w:val="36"/>
        </w:rPr>
      </w:pPr>
      <w:r w:rsidRPr="00DA72DA">
        <w:rPr>
          <w:rFonts w:cstheme="minorHAnsi"/>
          <w:sz w:val="36"/>
          <w:szCs w:val="36"/>
        </w:rPr>
        <w:t xml:space="preserve">   Nel citato 1958, a causa della definizione di ebreo, si ebbe addirittura una crisi di governo. In quell’anno infatti il ministro degli Interni israeliano diramò delle istruzioni in base alle quali andavano considerati ebrei tutti coloro che «in buona fede» si dichiarassero tali e non appartenessero ad altra confessione religiosa. In seguito lo stesso ministro emetteva una seconda istruzione secondo cui i figli di matrimoni misti, qualora i loro genitori lo desiderassero, fossero immediatamente registrati come ebrei, anche a prescindere dalle restrizioni previste dalle norme rabbiniche. Su questo punto si aprì la crisi di governo. </w:t>
      </w:r>
    </w:p>
    <w:p w14:paraId="46F1BC94" w14:textId="77777777" w:rsidR="00026469" w:rsidRDefault="00DA72DA" w:rsidP="00CE777F">
      <w:pPr>
        <w:spacing w:after="0" w:line="240" w:lineRule="auto"/>
        <w:jc w:val="both"/>
        <w:rPr>
          <w:rFonts w:cstheme="minorHAnsi"/>
          <w:sz w:val="36"/>
          <w:szCs w:val="36"/>
        </w:rPr>
      </w:pPr>
      <w:r w:rsidRPr="00DA72DA">
        <w:rPr>
          <w:rFonts w:cstheme="minorHAnsi"/>
          <w:sz w:val="36"/>
          <w:szCs w:val="36"/>
        </w:rPr>
        <w:t xml:space="preserve">Risulta evidente che la divergenza fondamentale verteva sulla scelta di definire l’ebraicità di ciascun singolo individuo o in virtù di criteri soggettivi (i suoi personali sentimenti di appartenenza) </w:t>
      </w:r>
      <w:r w:rsidRPr="00DA72DA">
        <w:rPr>
          <w:rFonts w:cstheme="minorHAnsi"/>
          <w:sz w:val="36"/>
          <w:szCs w:val="36"/>
        </w:rPr>
        <w:lastRenderedPageBreak/>
        <w:t>o sulla base di quelli oggettivi (connessi alla nascita o a una conversione ufficialmente riconosciuta). Questo contrasto è stato in seguito risolto dal parlamento israeliano il quale, optando per l’oggettività della tradizione ebraica, ha definitivamente dichiarato ebreo</w:t>
      </w:r>
      <w:r w:rsidR="00026469">
        <w:rPr>
          <w:rFonts w:cstheme="minorHAnsi"/>
          <w:sz w:val="36"/>
          <w:szCs w:val="36"/>
        </w:rPr>
        <w:t>:</w:t>
      </w:r>
    </w:p>
    <w:p w14:paraId="1C51B286" w14:textId="77777777" w:rsidR="00026469" w:rsidRDefault="00DA72DA" w:rsidP="00CE777F">
      <w:pPr>
        <w:spacing w:after="0" w:line="240" w:lineRule="auto"/>
        <w:jc w:val="both"/>
        <w:rPr>
          <w:rFonts w:cstheme="minorHAnsi"/>
          <w:sz w:val="36"/>
          <w:szCs w:val="36"/>
        </w:rPr>
      </w:pPr>
      <w:r w:rsidRPr="00DA72DA">
        <w:rPr>
          <w:rFonts w:cstheme="minorHAnsi"/>
          <w:sz w:val="36"/>
          <w:szCs w:val="36"/>
        </w:rPr>
        <w:t xml:space="preserve"> </w:t>
      </w:r>
      <w:r w:rsidRPr="00026469">
        <w:rPr>
          <w:rFonts w:cstheme="minorHAnsi"/>
          <w:b/>
          <w:bCs/>
          <w:sz w:val="36"/>
          <w:szCs w:val="36"/>
        </w:rPr>
        <w:t>«colui che è nato da madre ebrea, o che si è convertito all’ebraismo e che non appartiene ad altra religione</w:t>
      </w:r>
      <w:r w:rsidRPr="00DA72DA">
        <w:rPr>
          <w:rFonts w:cstheme="minorHAnsi"/>
          <w:sz w:val="36"/>
          <w:szCs w:val="36"/>
        </w:rPr>
        <w:t xml:space="preserve">». Rispetto alla norma tradizionale, è stata introdotta quindi la condizione di non aderire ad altra religione: una variabile non di poco conto. </w:t>
      </w:r>
    </w:p>
    <w:p w14:paraId="5F605ACC" w14:textId="42DC6669" w:rsidR="00DA72DA" w:rsidRDefault="00DA72DA" w:rsidP="00CE777F">
      <w:pPr>
        <w:spacing w:after="0" w:line="240" w:lineRule="auto"/>
        <w:jc w:val="both"/>
        <w:rPr>
          <w:rFonts w:cstheme="minorHAnsi"/>
          <w:sz w:val="36"/>
          <w:szCs w:val="36"/>
        </w:rPr>
      </w:pPr>
      <w:r w:rsidRPr="00DA72DA">
        <w:rPr>
          <w:rFonts w:cstheme="minorHAnsi"/>
          <w:sz w:val="36"/>
          <w:szCs w:val="36"/>
        </w:rPr>
        <w:t>La necessità di apportare questa precisazione si giustifica a motivo della decisione israeliana di attribuire alle singole comunità religiose la competenza su parti del diritto civile. Proprio la mancanza, per esempio, di un matrimonio civile rendeva indispensabile questa norma per evitare che un ebreo divenuto cristiano, si trovasse, nell’atto di contrarre matrimonio, «tra color che son sospesi». Si è così creata la strana situazione di attribuire un peso determinante alla componente religiosa proprio in relazione a una società in cui è notevole la percentuale degli ebrei che si definiscono laici.</w:t>
      </w:r>
    </w:p>
    <w:p w14:paraId="7B11D3E2" w14:textId="77777777" w:rsidR="00B314BE" w:rsidRDefault="00E57907" w:rsidP="00CE777F">
      <w:pPr>
        <w:spacing w:after="0" w:line="240" w:lineRule="auto"/>
        <w:jc w:val="both"/>
        <w:rPr>
          <w:rFonts w:cstheme="minorHAnsi"/>
          <w:b/>
          <w:bCs/>
          <w:sz w:val="36"/>
          <w:szCs w:val="36"/>
        </w:rPr>
      </w:pPr>
      <w:r w:rsidRPr="00E57907">
        <w:rPr>
          <w:rFonts w:cstheme="minorHAnsi"/>
          <w:b/>
          <w:bCs/>
          <w:sz w:val="36"/>
          <w:szCs w:val="36"/>
        </w:rPr>
        <w:t xml:space="preserve">     </w:t>
      </w:r>
    </w:p>
    <w:p w14:paraId="0AB22C93" w14:textId="1E377396" w:rsidR="00E57907" w:rsidRDefault="00B314BE" w:rsidP="00CE777F">
      <w:pPr>
        <w:spacing w:after="0" w:line="240" w:lineRule="auto"/>
        <w:jc w:val="both"/>
        <w:rPr>
          <w:rFonts w:cstheme="minorHAnsi"/>
          <w:b/>
          <w:bCs/>
          <w:color w:val="C45911" w:themeColor="accent2" w:themeShade="BF"/>
          <w:sz w:val="36"/>
          <w:szCs w:val="36"/>
        </w:rPr>
      </w:pPr>
      <w:r>
        <w:rPr>
          <w:rFonts w:cstheme="minorHAnsi"/>
          <w:b/>
          <w:bCs/>
          <w:sz w:val="36"/>
          <w:szCs w:val="36"/>
        </w:rPr>
        <w:t xml:space="preserve">   </w:t>
      </w:r>
      <w:r w:rsidR="00E57907" w:rsidRPr="00E57907">
        <w:rPr>
          <w:rFonts w:cstheme="minorHAnsi"/>
          <w:b/>
          <w:bCs/>
          <w:color w:val="C45911" w:themeColor="accent2" w:themeShade="BF"/>
          <w:sz w:val="36"/>
          <w:szCs w:val="36"/>
        </w:rPr>
        <w:t>Conversione</w:t>
      </w:r>
      <w:r w:rsidR="00FB6567">
        <w:rPr>
          <w:rFonts w:cstheme="minorHAnsi"/>
          <w:b/>
          <w:bCs/>
          <w:color w:val="C45911" w:themeColor="accent2" w:themeShade="BF"/>
          <w:sz w:val="36"/>
          <w:szCs w:val="36"/>
        </w:rPr>
        <w:t>.</w:t>
      </w:r>
    </w:p>
    <w:p w14:paraId="150A7EBE" w14:textId="1D7F33CB" w:rsidR="00FB6567" w:rsidRDefault="00DE58B4" w:rsidP="00CE777F">
      <w:pPr>
        <w:spacing w:after="0" w:line="240" w:lineRule="auto"/>
        <w:jc w:val="both"/>
        <w:rPr>
          <w:rFonts w:cstheme="minorHAnsi"/>
          <w:sz w:val="36"/>
          <w:szCs w:val="36"/>
        </w:rPr>
      </w:pPr>
      <w:r>
        <w:rPr>
          <w:rFonts w:cstheme="minorHAnsi"/>
          <w:b/>
          <w:bCs/>
          <w:smallCaps/>
          <w:color w:val="C45911" w:themeColor="accent2" w:themeShade="BF"/>
          <w:sz w:val="36"/>
          <w:szCs w:val="36"/>
        </w:rPr>
        <w:t xml:space="preserve">     </w:t>
      </w:r>
      <w:r>
        <w:rPr>
          <w:rFonts w:cstheme="minorHAnsi"/>
          <w:smallCaps/>
          <w:sz w:val="36"/>
          <w:szCs w:val="36"/>
        </w:rPr>
        <w:t>S</w:t>
      </w:r>
      <w:r>
        <w:rPr>
          <w:rFonts w:cstheme="minorHAnsi"/>
          <w:sz w:val="36"/>
          <w:szCs w:val="36"/>
        </w:rPr>
        <w:t>econdo la visione ortodossa il procedimento di conversione all’ebraismo prevede</w:t>
      </w:r>
      <w:r w:rsidR="00443AAF">
        <w:rPr>
          <w:rFonts w:cstheme="minorHAnsi"/>
          <w:sz w:val="36"/>
          <w:szCs w:val="36"/>
        </w:rPr>
        <w:t xml:space="preserve"> la domanda </w:t>
      </w:r>
      <w:r w:rsidR="000E58F3">
        <w:rPr>
          <w:rFonts w:cstheme="minorHAnsi"/>
          <w:sz w:val="36"/>
          <w:szCs w:val="36"/>
        </w:rPr>
        <w:t xml:space="preserve">rivolta </w:t>
      </w:r>
      <w:r w:rsidR="00B314BE">
        <w:rPr>
          <w:rFonts w:cstheme="minorHAnsi"/>
          <w:sz w:val="36"/>
          <w:szCs w:val="36"/>
        </w:rPr>
        <w:t>a un tribunale rabbinico</w:t>
      </w:r>
      <w:r w:rsidR="000E58F3">
        <w:rPr>
          <w:rFonts w:cstheme="minorHAnsi"/>
          <w:sz w:val="36"/>
          <w:szCs w:val="36"/>
        </w:rPr>
        <w:t xml:space="preserve"> (composto da tre membri, ebrei adulti con competenze di halakhah, in genere ma non necessariamente rabbini, in materia di conversione è però prescritta la presenza di almeno un rabbino)</w:t>
      </w:r>
      <w:r w:rsidR="00B314BE">
        <w:rPr>
          <w:rFonts w:cstheme="minorHAnsi"/>
          <w:sz w:val="36"/>
          <w:szCs w:val="36"/>
        </w:rPr>
        <w:t xml:space="preserve">  </w:t>
      </w:r>
      <w:r w:rsidR="00443AAF">
        <w:rPr>
          <w:rFonts w:cstheme="minorHAnsi"/>
          <w:sz w:val="36"/>
          <w:szCs w:val="36"/>
        </w:rPr>
        <w:t>di colui o colei che desidera convertirsi</w:t>
      </w:r>
      <w:r w:rsidR="00B314BE">
        <w:rPr>
          <w:rFonts w:cstheme="minorHAnsi"/>
          <w:sz w:val="36"/>
          <w:szCs w:val="36"/>
        </w:rPr>
        <w:t>, il tribunale</w:t>
      </w:r>
      <w:r w:rsidR="00443AAF">
        <w:rPr>
          <w:rFonts w:cstheme="minorHAnsi"/>
          <w:sz w:val="36"/>
          <w:szCs w:val="36"/>
        </w:rPr>
        <w:t xml:space="preserve"> valuta le motivazioni che devono essere quelle di accettare, di </w:t>
      </w:r>
      <w:r w:rsidR="00801535">
        <w:rPr>
          <w:rFonts w:cstheme="minorHAnsi"/>
          <w:sz w:val="36"/>
          <w:szCs w:val="36"/>
        </w:rPr>
        <w:t>conoscere e</w:t>
      </w:r>
      <w:r w:rsidR="00443AAF">
        <w:rPr>
          <w:rFonts w:cstheme="minorHAnsi"/>
          <w:sz w:val="36"/>
          <w:szCs w:val="36"/>
        </w:rPr>
        <w:t xml:space="preserve"> </w:t>
      </w:r>
      <w:r w:rsidR="00B314BE">
        <w:rPr>
          <w:rFonts w:cstheme="minorHAnsi"/>
          <w:sz w:val="36"/>
          <w:szCs w:val="36"/>
        </w:rPr>
        <w:t xml:space="preserve">di </w:t>
      </w:r>
      <w:r w:rsidR="00443AAF">
        <w:rPr>
          <w:rFonts w:cstheme="minorHAnsi"/>
          <w:sz w:val="36"/>
          <w:szCs w:val="36"/>
        </w:rPr>
        <w:t xml:space="preserve">essere nelle condizioni di praticare la Torah (in linea di principio la volontà di sposare un ebreo o una ebrea non è considerata </w:t>
      </w:r>
      <w:r w:rsidR="00801535">
        <w:rPr>
          <w:rFonts w:cstheme="minorHAnsi"/>
          <w:sz w:val="36"/>
          <w:szCs w:val="36"/>
        </w:rPr>
        <w:t>un motivo</w:t>
      </w:r>
      <w:r w:rsidR="00443AAF">
        <w:rPr>
          <w:rFonts w:cstheme="minorHAnsi"/>
          <w:sz w:val="36"/>
          <w:szCs w:val="36"/>
        </w:rPr>
        <w:t xml:space="preserve"> </w:t>
      </w:r>
      <w:r w:rsidR="00443AAF">
        <w:rPr>
          <w:rFonts w:cstheme="minorHAnsi"/>
          <w:sz w:val="36"/>
          <w:szCs w:val="36"/>
        </w:rPr>
        <w:lastRenderedPageBreak/>
        <w:t>sufficiente). Una volta accertata la presenza di questi requisiti</w:t>
      </w:r>
      <w:r w:rsidR="00B314BE">
        <w:rPr>
          <w:rFonts w:cstheme="minorHAnsi"/>
          <w:sz w:val="36"/>
          <w:szCs w:val="36"/>
        </w:rPr>
        <w:t>,</w:t>
      </w:r>
      <w:r w:rsidR="00443AAF">
        <w:rPr>
          <w:rFonts w:cstheme="minorHAnsi"/>
          <w:sz w:val="36"/>
          <w:szCs w:val="36"/>
        </w:rPr>
        <w:t xml:space="preserve"> si p</w:t>
      </w:r>
      <w:r w:rsidR="00801535">
        <w:rPr>
          <w:rFonts w:cstheme="minorHAnsi"/>
          <w:sz w:val="36"/>
          <w:szCs w:val="36"/>
        </w:rPr>
        <w:t xml:space="preserve">rocede alla cerimonia del </w:t>
      </w:r>
      <w:r w:rsidR="00801535" w:rsidRPr="00801535">
        <w:rPr>
          <w:rFonts w:cstheme="minorHAnsi"/>
          <w:i/>
          <w:iCs/>
          <w:sz w:val="36"/>
          <w:szCs w:val="36"/>
        </w:rPr>
        <w:t>ghiur</w:t>
      </w:r>
      <w:r w:rsidR="00801535">
        <w:rPr>
          <w:rFonts w:cstheme="minorHAnsi"/>
          <w:sz w:val="36"/>
          <w:szCs w:val="36"/>
        </w:rPr>
        <w:t xml:space="preserve"> che prevede l’effettuazione di un bagno rituale per femmine e maschi e nel caso di questi ultimi la circoncisione (il terzo momento previsto dalla normativa rabbinica, l’effettuazione di un sacrificio, è sospeso a partire dalla distruzione del Secondo tempio 70 d.C.)</w:t>
      </w:r>
    </w:p>
    <w:p w14:paraId="110BC2D2" w14:textId="77777777" w:rsidR="00801535" w:rsidRPr="00801535" w:rsidRDefault="00801535" w:rsidP="00CE777F">
      <w:pPr>
        <w:spacing w:after="0" w:line="240" w:lineRule="auto"/>
        <w:jc w:val="both"/>
        <w:rPr>
          <w:rFonts w:cstheme="minorHAnsi"/>
          <w:i/>
          <w:iCs/>
          <w:sz w:val="36"/>
          <w:szCs w:val="36"/>
        </w:rPr>
      </w:pPr>
    </w:p>
    <w:p w14:paraId="0E883268" w14:textId="73C651E7" w:rsidR="00DA72DA" w:rsidRPr="00DA72DA" w:rsidRDefault="000E58F3" w:rsidP="00CE777F">
      <w:pPr>
        <w:spacing w:after="0" w:line="240" w:lineRule="auto"/>
        <w:jc w:val="both"/>
        <w:rPr>
          <w:rFonts w:cstheme="minorHAnsi"/>
          <w:smallCaps/>
          <w:sz w:val="36"/>
          <w:szCs w:val="36"/>
        </w:rPr>
      </w:pPr>
      <w:r>
        <w:rPr>
          <w:rFonts w:cstheme="minorHAnsi"/>
          <w:sz w:val="36"/>
          <w:szCs w:val="36"/>
        </w:rPr>
        <w:t xml:space="preserve">   </w:t>
      </w:r>
      <w:r w:rsidR="00B314BE">
        <w:rPr>
          <w:rFonts w:cstheme="minorHAnsi"/>
          <w:sz w:val="36"/>
          <w:szCs w:val="36"/>
        </w:rPr>
        <w:t>Nello Stato d’Israele</w:t>
      </w:r>
      <w:r w:rsidR="00DA72DA" w:rsidRPr="00E57907">
        <w:rPr>
          <w:rFonts w:cstheme="minorHAnsi"/>
          <w:sz w:val="36"/>
          <w:szCs w:val="36"/>
        </w:rPr>
        <w:t xml:space="preserve"> </w:t>
      </w:r>
      <w:r w:rsidR="00DA72DA" w:rsidRPr="00DA72DA">
        <w:rPr>
          <w:rFonts w:cstheme="minorHAnsi"/>
          <w:sz w:val="36"/>
          <w:szCs w:val="36"/>
        </w:rPr>
        <w:t>a proposito della conversione</w:t>
      </w:r>
      <w:r w:rsidR="00B314BE">
        <w:rPr>
          <w:rFonts w:cstheme="minorHAnsi"/>
          <w:sz w:val="36"/>
          <w:szCs w:val="36"/>
        </w:rPr>
        <w:t xml:space="preserve"> si pone un problema simmetrico a quello della definizione di ebreo: c</w:t>
      </w:r>
      <w:r w:rsidR="00DA72DA" w:rsidRPr="00DA72DA">
        <w:rPr>
          <w:rFonts w:cstheme="minorHAnsi"/>
          <w:sz w:val="36"/>
          <w:szCs w:val="36"/>
        </w:rPr>
        <w:t xml:space="preserve">hi garantisce che essa sia conforme alle norme? La risposta si è adeguata alla linea ortodossa. Sono stati, dunque, riconosciuti ebrei solo coloro che si sono convertiti seguendo il percorso stabilito dall’ortodossia, mentre non lo sono stati coloro che hanno percorso la via, meno rigorosa, assunta dalle comunità riformate o </w:t>
      </w:r>
      <w:r w:rsidR="00DA72DA" w:rsidRPr="00DA72DA">
        <w:rPr>
          <w:rFonts w:cstheme="minorHAnsi"/>
          <w:i/>
          <w:iCs/>
          <w:sz w:val="36"/>
          <w:szCs w:val="36"/>
        </w:rPr>
        <w:t xml:space="preserve">Conservative </w:t>
      </w:r>
      <w:r w:rsidR="00DA72DA" w:rsidRPr="00DA72DA">
        <w:rPr>
          <w:rStyle w:val="Rimandonotaapidipagina"/>
          <w:rFonts w:cstheme="minorHAnsi"/>
          <w:sz w:val="36"/>
          <w:szCs w:val="36"/>
        </w:rPr>
        <w:footnoteReference w:id="19"/>
      </w:r>
      <w:r w:rsidR="00DA72DA" w:rsidRPr="00DA72DA">
        <w:rPr>
          <w:rFonts w:cstheme="minorHAnsi"/>
          <w:sz w:val="36"/>
          <w:szCs w:val="36"/>
        </w:rPr>
        <w:t xml:space="preserve"> diffuse specialmente negli Stati Uniti, le quali, tra l'altro, nel caso di matrimonio misto, riconoscono valida anche la patrilinearità. In verità, su questo fronte qualcosa si è mosso. Nel 2002 la Corte suprema laica di Israele ha, per esempio, deciso che l’anagrafe israeliana registri per la prima volta come ebrei anche i convertiti </w:t>
      </w:r>
      <w:r w:rsidR="00DA72DA" w:rsidRPr="00DA72DA">
        <w:rPr>
          <w:rFonts w:cstheme="minorHAnsi"/>
          <w:i/>
          <w:iCs/>
          <w:sz w:val="36"/>
          <w:szCs w:val="36"/>
        </w:rPr>
        <w:t>Conservative</w:t>
      </w:r>
      <w:r w:rsidR="00DA72DA" w:rsidRPr="00DA72DA">
        <w:rPr>
          <w:rFonts w:cstheme="minorHAnsi"/>
          <w:sz w:val="36"/>
          <w:szCs w:val="36"/>
        </w:rPr>
        <w:t xml:space="preserve"> e </w:t>
      </w:r>
      <w:r w:rsidR="00DA72DA" w:rsidRPr="00DA72DA">
        <w:rPr>
          <w:rFonts w:cstheme="minorHAnsi"/>
          <w:i/>
          <w:iCs/>
          <w:sz w:val="36"/>
          <w:szCs w:val="36"/>
        </w:rPr>
        <w:t>Reform</w:t>
      </w:r>
      <w:r w:rsidR="00DA72DA" w:rsidRPr="00DA72DA">
        <w:rPr>
          <w:rFonts w:cstheme="minorHAnsi"/>
          <w:sz w:val="36"/>
          <w:szCs w:val="36"/>
        </w:rPr>
        <w:t xml:space="preserve"> a cui pur non si applica la legge del ritorno. In effetti, più di questa norma specifica, conta la motivazione addotta per giustificarla stando alla quale «Israele non è il paese di una comunità ebraica, ma del popolo ebraico che comprende diverse denominazioni, attive sia dentro sia fuori Israele». </w:t>
      </w:r>
      <w:r w:rsidR="00DA72DA" w:rsidRPr="00DA72DA">
        <w:rPr>
          <w:rFonts w:cstheme="minorHAnsi"/>
          <w:color w:val="227ACB"/>
          <w:sz w:val="36"/>
          <w:szCs w:val="36"/>
        </w:rPr>
        <w:t xml:space="preserve"> </w:t>
      </w:r>
      <w:r w:rsidR="00DA72DA" w:rsidRPr="00DA72DA">
        <w:rPr>
          <w:rFonts w:cstheme="minorHAnsi"/>
          <w:sz w:val="36"/>
          <w:szCs w:val="36"/>
        </w:rPr>
        <w:t xml:space="preserve">Il processo ha avuto un ulteriore incremento. L'alta Corte di giustizia israeliana ha decretato il 31 marzo 2016 che lo Stato deve riconoscere la conversione all'ebraismo anche se condotte senza la supervisione del Rabbinato centrale e permettere a tutti i convertiti di richiedere la cittadinanza israeliana secondo la legge del ritorno. La decisione riguarda </w:t>
      </w:r>
      <w:r w:rsidR="00DA72DA" w:rsidRPr="00DA72DA">
        <w:rPr>
          <w:rFonts w:cstheme="minorHAnsi"/>
          <w:sz w:val="36"/>
          <w:szCs w:val="36"/>
        </w:rPr>
        <w:lastRenderedPageBreak/>
        <w:t xml:space="preserve">principalmente le conversioni </w:t>
      </w:r>
      <w:r w:rsidR="00DA72DA" w:rsidRPr="00DA72DA">
        <w:rPr>
          <w:rFonts w:cstheme="minorHAnsi"/>
          <w:i/>
          <w:sz w:val="36"/>
          <w:szCs w:val="36"/>
        </w:rPr>
        <w:t>reform</w:t>
      </w:r>
      <w:r w:rsidR="00DA72DA" w:rsidRPr="00DA72DA">
        <w:rPr>
          <w:rFonts w:cstheme="minorHAnsi"/>
          <w:sz w:val="36"/>
          <w:szCs w:val="36"/>
        </w:rPr>
        <w:t xml:space="preserve"> e </w:t>
      </w:r>
      <w:r w:rsidR="00DA72DA" w:rsidRPr="00DA72DA">
        <w:rPr>
          <w:rFonts w:cstheme="minorHAnsi"/>
          <w:i/>
          <w:sz w:val="36"/>
          <w:szCs w:val="36"/>
        </w:rPr>
        <w:t>conservative</w:t>
      </w:r>
      <w:r w:rsidR="00DA72DA" w:rsidRPr="00DA72DA">
        <w:rPr>
          <w:rFonts w:cstheme="minorHAnsi"/>
          <w:sz w:val="36"/>
          <w:szCs w:val="36"/>
        </w:rPr>
        <w:t xml:space="preserve"> eseguite in Israele, mentre finora erano riconosciute soltanto quelle eseguite all'estero (cf. </w:t>
      </w:r>
      <w:r w:rsidR="00DA72DA" w:rsidRPr="00DA72DA">
        <w:rPr>
          <w:rFonts w:cstheme="minorHAnsi"/>
          <w:i/>
          <w:sz w:val="36"/>
          <w:szCs w:val="36"/>
        </w:rPr>
        <w:t>Keshet</w:t>
      </w:r>
      <w:r w:rsidR="00DA72DA" w:rsidRPr="00DA72DA">
        <w:rPr>
          <w:rFonts w:cstheme="minorHAnsi"/>
          <w:sz w:val="36"/>
          <w:szCs w:val="36"/>
        </w:rPr>
        <w:t xml:space="preserve"> 1[2016],5)]. Anche in questo caso, in conformità a quanto sta avvenendo nella società israeliana, la tendenza, perciò, è stata di privilegiare la componente etnico/nazionale nei confronti di quella religiosa.</w:t>
      </w:r>
    </w:p>
    <w:p w14:paraId="1A0281A5" w14:textId="77777777" w:rsidR="00DA72DA" w:rsidRPr="00DA72DA" w:rsidRDefault="00DA72DA" w:rsidP="00026469">
      <w:pPr>
        <w:pStyle w:val="NormaleWeb"/>
        <w:shd w:val="clear" w:color="auto" w:fill="FFFFFF"/>
        <w:spacing w:before="0" w:beforeAutospacing="0" w:after="0" w:afterAutospacing="0"/>
        <w:jc w:val="both"/>
        <w:rPr>
          <w:rFonts w:asciiTheme="minorHAnsi" w:hAnsiTheme="minorHAnsi" w:cstheme="minorHAnsi"/>
          <w:sz w:val="36"/>
          <w:szCs w:val="36"/>
        </w:rPr>
      </w:pPr>
      <w:r w:rsidRPr="00DA72DA">
        <w:rPr>
          <w:rFonts w:asciiTheme="minorHAnsi" w:hAnsiTheme="minorHAnsi" w:cstheme="minorHAnsi"/>
          <w:sz w:val="36"/>
          <w:szCs w:val="36"/>
        </w:rPr>
        <w:t xml:space="preserve">    Rispetto alla «legge del ritorno» appare rilevante soprattutto l’integrazione adottata nel 1970 in base a cui «questo diritto riguarda anche il figlio, il nipote di un ebreo, il coniuge di un ebreo, il coniuge di un figlio o di un nipote di un ebreo». La normativa, volta a favorire i congiungimenti familiari, va al di là dello stesso principio tradizionale della matrilinearità. Nell’ultimo decennio del XX secolo, in base a una sua interpretazione largheggiante, è entrata in Israele una quota significativa dell’immigrazione russa. Il dato pone di nuovo in luce il fatto che, attualmente, in Israele l’aspetto legato alla ebraicità è incentrato più sulla demografia che sulla religione. </w:t>
      </w:r>
    </w:p>
    <w:p w14:paraId="5C506A1C" w14:textId="77777777" w:rsidR="00026469" w:rsidRDefault="00026469" w:rsidP="00CE777F">
      <w:pPr>
        <w:pStyle w:val="NormaleWeb"/>
        <w:shd w:val="clear" w:color="auto" w:fill="FFFFFF"/>
        <w:spacing w:before="0" w:beforeAutospacing="0" w:after="0" w:afterAutospacing="0"/>
        <w:rPr>
          <w:rFonts w:asciiTheme="minorHAnsi" w:hAnsiTheme="minorHAnsi" w:cstheme="minorHAnsi"/>
          <w:sz w:val="36"/>
          <w:szCs w:val="36"/>
        </w:rPr>
      </w:pPr>
      <w:r w:rsidRPr="00026469">
        <w:rPr>
          <w:rFonts w:asciiTheme="minorHAnsi" w:hAnsiTheme="minorHAnsi" w:cstheme="minorHAnsi"/>
          <w:sz w:val="36"/>
          <w:szCs w:val="36"/>
        </w:rPr>
        <w:t>Sono intervenute ulteriori modifiche</w:t>
      </w:r>
      <w:r>
        <w:rPr>
          <w:rFonts w:asciiTheme="minorHAnsi" w:hAnsiTheme="minorHAnsi" w:cstheme="minorHAnsi"/>
          <w:sz w:val="36"/>
          <w:szCs w:val="36"/>
        </w:rPr>
        <w:t>-</w:t>
      </w:r>
    </w:p>
    <w:p w14:paraId="0DE630B4" w14:textId="4D1290F8" w:rsidR="00DA72DA" w:rsidRPr="00A220D9" w:rsidRDefault="00026469" w:rsidP="00CE777F">
      <w:pPr>
        <w:pStyle w:val="NormaleWeb"/>
        <w:shd w:val="clear" w:color="auto" w:fill="FFFFFF"/>
        <w:spacing w:before="0" w:beforeAutospacing="0" w:after="0" w:afterAutospacing="0"/>
        <w:rPr>
          <w:rFonts w:asciiTheme="minorHAnsi" w:hAnsiTheme="minorHAnsi" w:cstheme="minorHAnsi"/>
          <w:b/>
          <w:bCs/>
          <w:sz w:val="36"/>
          <w:szCs w:val="36"/>
        </w:rPr>
      </w:pPr>
      <w:r w:rsidRPr="00A220D9">
        <w:rPr>
          <w:rFonts w:asciiTheme="minorHAnsi" w:hAnsiTheme="minorHAnsi" w:cstheme="minorHAnsi"/>
          <w:b/>
          <w:bCs/>
          <w:sz w:val="36"/>
          <w:szCs w:val="36"/>
        </w:rPr>
        <w:t xml:space="preserve"> «</w:t>
      </w:r>
      <w:r w:rsidR="00DA72DA" w:rsidRPr="00A220D9">
        <w:rPr>
          <w:rStyle w:val="Enfasicorsivo"/>
          <w:rFonts w:asciiTheme="minorHAnsi" w:hAnsiTheme="minorHAnsi" w:cstheme="minorHAnsi"/>
          <w:i w:val="0"/>
          <w:iCs w:val="0"/>
          <w:sz w:val="36"/>
          <w:szCs w:val="36"/>
          <w:shd w:val="clear" w:color="auto" w:fill="FFFFFF"/>
        </w:rPr>
        <w:t>L'Unione Mondiale si congratula con i suoi partner, l'Israel Movement for Reform and Progressive Judaism (IMPJ), che, attraverso l'azione del suo centro legale, l'Israel Religious Action Center (IRAC), hanno ottenuto una sentenza storica dalla Corte Suprema di Israele per riconoscere conversioni non ortodosse effettuate in Israele ai fini della cittadinanza israeliana secondo la Legge del Ritorno</w:t>
      </w:r>
      <w:r w:rsidRPr="00A220D9">
        <w:rPr>
          <w:rStyle w:val="Enfasicorsivo"/>
          <w:rFonts w:asciiTheme="minorHAnsi" w:hAnsiTheme="minorHAnsi" w:cstheme="minorHAnsi"/>
          <w:i w:val="0"/>
          <w:iCs w:val="0"/>
          <w:sz w:val="36"/>
          <w:szCs w:val="36"/>
          <w:shd w:val="clear" w:color="auto" w:fill="FFFFFF"/>
        </w:rPr>
        <w:t>»</w:t>
      </w:r>
      <w:r w:rsidR="00DA72DA" w:rsidRPr="00A220D9">
        <w:rPr>
          <w:rStyle w:val="Enfasicorsivo"/>
          <w:rFonts w:asciiTheme="minorHAnsi" w:hAnsiTheme="minorHAnsi" w:cstheme="minorHAnsi"/>
          <w:i w:val="0"/>
          <w:iCs w:val="0"/>
          <w:sz w:val="36"/>
          <w:szCs w:val="36"/>
          <w:shd w:val="clear" w:color="auto" w:fill="FFFFFF"/>
        </w:rPr>
        <w:t>.</w:t>
      </w:r>
    </w:p>
    <w:p w14:paraId="52E732E5" w14:textId="4298B9B6" w:rsidR="00DA72DA" w:rsidRPr="00A220D9" w:rsidRDefault="00DA72DA" w:rsidP="00E57907">
      <w:pPr>
        <w:pStyle w:val="NormaleWeb"/>
        <w:shd w:val="clear" w:color="auto" w:fill="FFFFFF"/>
        <w:spacing w:before="0" w:beforeAutospacing="0" w:after="0" w:afterAutospacing="0"/>
        <w:rPr>
          <w:rFonts w:asciiTheme="minorHAnsi" w:hAnsiTheme="minorHAnsi" w:cstheme="minorHAnsi"/>
          <w:sz w:val="36"/>
          <w:szCs w:val="36"/>
        </w:rPr>
      </w:pPr>
      <w:r w:rsidRPr="00A220D9">
        <w:rPr>
          <w:rFonts w:asciiTheme="minorHAnsi" w:hAnsiTheme="minorHAnsi" w:cstheme="minorHAnsi"/>
          <w:sz w:val="36"/>
          <w:szCs w:val="36"/>
        </w:rPr>
        <w:t xml:space="preserve">Il Movimento Riformato accoglie con favore la decisione della Corte Suprema di riconoscere le conversioni riformate e conservative effettuate in Israele sulla base della Legge del Ritorno. In una decisione della Corte Suprema emessa oggi (1°marzo 2021 n.d.r.), la Corte Suprema ha stabilito di riconoscere le conversioni effettuate in Israele da parte dei Movimenti Riformato e </w:t>
      </w:r>
      <w:r w:rsidRPr="00A220D9">
        <w:rPr>
          <w:rFonts w:asciiTheme="minorHAnsi" w:hAnsiTheme="minorHAnsi" w:cstheme="minorHAnsi"/>
          <w:sz w:val="36"/>
          <w:szCs w:val="36"/>
        </w:rPr>
        <w:lastRenderedPageBreak/>
        <w:t>Conservativo sulla base della Legge del Ritorno. I convertiti riceveranno lo status di </w:t>
      </w:r>
      <w:r w:rsidRPr="00A220D9">
        <w:rPr>
          <w:rStyle w:val="Enfasicorsivo"/>
          <w:rFonts w:asciiTheme="minorHAnsi" w:hAnsiTheme="minorHAnsi" w:cstheme="minorHAnsi"/>
          <w:sz w:val="36"/>
          <w:szCs w:val="36"/>
        </w:rPr>
        <w:t>oleh</w:t>
      </w:r>
      <w:r w:rsidRPr="00A220D9">
        <w:rPr>
          <w:rFonts w:asciiTheme="minorHAnsi" w:hAnsiTheme="minorHAnsi" w:cstheme="minorHAnsi"/>
          <w:sz w:val="36"/>
          <w:szCs w:val="36"/>
        </w:rPr>
        <w:t> (immigrato) e la cittadinanza israeliana. La decisione è stata presa con il voto a favore di otto giudici e uno contrario.</w:t>
      </w:r>
      <w:r w:rsidR="00E57907" w:rsidRPr="00A220D9">
        <w:rPr>
          <w:rFonts w:asciiTheme="minorHAnsi" w:hAnsiTheme="minorHAnsi" w:cstheme="minorHAnsi"/>
          <w:sz w:val="36"/>
          <w:szCs w:val="36"/>
        </w:rPr>
        <w:t xml:space="preserve"> </w:t>
      </w:r>
      <w:r w:rsidRPr="00A220D9">
        <w:rPr>
          <w:rFonts w:asciiTheme="minorHAnsi" w:hAnsiTheme="minorHAnsi" w:cstheme="minorHAnsi"/>
          <w:sz w:val="36"/>
          <w:szCs w:val="36"/>
        </w:rPr>
        <w:t>Si tratta di un'importante vittoria per il Movimento Riformato e Progressivo Israeliano dopo una battaglia di 15 anni e 10 petizioni. Il giudice Esther Hayut, Presidente della Corte Suprema ha detto che: "lo scopo della Legge del Ritorno è quello di incoraggiare ogni ebreo - sia che sia nato come ebreo, o che abbia scelto di diventare parte del popolo ebraico attraverso la conversione - a fare Aliya (immigrare) in Israele. Cosa significa questa sentenza: la Corte Suprema di Israele riconosce le conversioni officiate e certificate dai Movimenti Riformato e Conservativo in Israele sulla base della Legge del Ritorno. Questi convertiti riceveranno la cittadinanza israeliana, mentre finora non era possibile […]</w:t>
      </w:r>
    </w:p>
    <w:p w14:paraId="0A985C4D" w14:textId="77777777" w:rsidR="00DA72DA" w:rsidRPr="00A220D9" w:rsidRDefault="00DA72DA" w:rsidP="00CE777F">
      <w:pPr>
        <w:spacing w:after="0" w:line="240" w:lineRule="auto"/>
        <w:rPr>
          <w:rFonts w:cstheme="minorHAnsi"/>
          <w:smallCaps/>
          <w:sz w:val="36"/>
          <w:szCs w:val="36"/>
        </w:rPr>
      </w:pPr>
    </w:p>
    <w:p w14:paraId="4317886D" w14:textId="0A998E28" w:rsidR="00DA72DA" w:rsidRPr="00A220D9" w:rsidRDefault="00E57907" w:rsidP="00CE777F">
      <w:pPr>
        <w:spacing w:after="0" w:line="240" w:lineRule="auto"/>
        <w:rPr>
          <w:rFonts w:cstheme="minorHAnsi"/>
          <w:smallCaps/>
          <w:sz w:val="32"/>
          <w:szCs w:val="32"/>
        </w:rPr>
      </w:pPr>
      <w:r w:rsidRPr="00A220D9">
        <w:rPr>
          <w:rFonts w:cstheme="minorHAnsi"/>
          <w:b/>
          <w:sz w:val="32"/>
          <w:szCs w:val="32"/>
        </w:rPr>
        <w:t>2</w:t>
      </w:r>
      <w:r w:rsidR="00DA72DA" w:rsidRPr="00A220D9">
        <w:rPr>
          <w:rFonts w:cstheme="minorHAnsi"/>
          <w:b/>
          <w:sz w:val="32"/>
          <w:szCs w:val="32"/>
        </w:rPr>
        <w:t>.</w:t>
      </w:r>
      <w:r w:rsidRPr="00A220D9">
        <w:rPr>
          <w:rFonts w:cstheme="minorHAnsi"/>
          <w:b/>
          <w:sz w:val="32"/>
          <w:szCs w:val="32"/>
        </w:rPr>
        <w:t>1</w:t>
      </w:r>
      <w:r w:rsidR="00DA72DA" w:rsidRPr="00A220D9">
        <w:rPr>
          <w:rFonts w:cstheme="minorHAnsi"/>
          <w:b/>
          <w:sz w:val="32"/>
          <w:szCs w:val="32"/>
        </w:rPr>
        <w:t xml:space="preserve"> Documentazione</w:t>
      </w:r>
      <w:r w:rsidR="00DA72DA" w:rsidRPr="00A220D9">
        <w:rPr>
          <w:rFonts w:cstheme="minorHAnsi"/>
          <w:sz w:val="32"/>
          <w:szCs w:val="32"/>
        </w:rPr>
        <w:t>.</w:t>
      </w:r>
    </w:p>
    <w:p w14:paraId="78D98D18" w14:textId="77777777" w:rsidR="00DA72DA" w:rsidRPr="00A220D9" w:rsidRDefault="00DA72DA" w:rsidP="00CE777F">
      <w:pPr>
        <w:spacing w:after="0" w:line="240" w:lineRule="auto"/>
        <w:rPr>
          <w:rFonts w:cstheme="minorHAnsi"/>
          <w:smallCaps/>
          <w:sz w:val="32"/>
          <w:szCs w:val="32"/>
        </w:rPr>
      </w:pPr>
      <w:r w:rsidRPr="00A220D9">
        <w:rPr>
          <w:rFonts w:cstheme="minorHAnsi"/>
          <w:sz w:val="32"/>
          <w:szCs w:val="32"/>
        </w:rPr>
        <w:t>Dal testo B. R. Eliezer,</w:t>
      </w:r>
      <w:r w:rsidRPr="00A220D9">
        <w:rPr>
          <w:rFonts w:cstheme="minorHAnsi"/>
          <w:i/>
          <w:sz w:val="32"/>
          <w:szCs w:val="32"/>
        </w:rPr>
        <w:t xml:space="preserve"> Chi è ebreo) Cinquanta «saggi» rispondono</w:t>
      </w:r>
      <w:r w:rsidRPr="00A220D9">
        <w:rPr>
          <w:rFonts w:cstheme="minorHAnsi"/>
          <w:sz w:val="32"/>
          <w:szCs w:val="32"/>
        </w:rPr>
        <w:t>, a cura di  S. Meghnagi  e T. Zevi, Bonanno, Acireale (CT), 2014, si riporta integralmente la lettera  inviata ai «saggi» dal primo ministro israeliano Ben Gurion, pp. 127-130, seguono due parere tra loro diametralmente opposti di due autorevoli rabbini italiani Dante Lattes (che operò soprattutto nella prima metà del XX secolo) e Elio Toaff (che  operò soprattutto nella seconda metà, noto al grande pubblico specie dopo la visita di papa Giovanni Paolo II alla sinagoga di Roma 1986). Lattes distingue nettamente normativa rabbinica e quella civile (quindi sul piano culturale legittima un'identità ebraica laica), mentre Toaff afferma la validità civile anche per lo Stato d'Israele della norma rabbinica.</w:t>
      </w:r>
    </w:p>
    <w:p w14:paraId="4D06C735" w14:textId="77777777" w:rsidR="00DA72DA" w:rsidRPr="00A220D9" w:rsidRDefault="00DA72DA" w:rsidP="00CE777F">
      <w:pPr>
        <w:spacing w:after="0" w:line="240" w:lineRule="auto"/>
        <w:rPr>
          <w:rFonts w:cstheme="minorHAnsi"/>
          <w:smallCaps/>
          <w:sz w:val="32"/>
          <w:szCs w:val="32"/>
        </w:rPr>
      </w:pPr>
    </w:p>
    <w:p w14:paraId="18150EE7" w14:textId="77777777" w:rsidR="00DA72DA" w:rsidRPr="00A220D9" w:rsidRDefault="00DA72DA" w:rsidP="00CE777F">
      <w:pPr>
        <w:spacing w:after="0" w:line="240" w:lineRule="auto"/>
        <w:rPr>
          <w:rFonts w:cstheme="minorHAnsi"/>
          <w:smallCaps/>
          <w:sz w:val="32"/>
          <w:szCs w:val="32"/>
        </w:rPr>
      </w:pPr>
    </w:p>
    <w:p w14:paraId="7AE974CD" w14:textId="77777777" w:rsidR="00DA72DA" w:rsidRPr="00A220D9" w:rsidRDefault="00DA72DA" w:rsidP="00CE777F">
      <w:pPr>
        <w:spacing w:after="0" w:line="240" w:lineRule="auto"/>
        <w:rPr>
          <w:rFonts w:cstheme="minorHAnsi"/>
          <w:smallCaps/>
          <w:sz w:val="32"/>
          <w:szCs w:val="32"/>
        </w:rPr>
      </w:pPr>
      <w:r w:rsidRPr="00A220D9">
        <w:rPr>
          <w:rFonts w:cstheme="minorHAnsi"/>
          <w:b/>
          <w:sz w:val="32"/>
          <w:szCs w:val="32"/>
        </w:rPr>
        <w:t>A)</w:t>
      </w:r>
      <w:r w:rsidRPr="00A220D9">
        <w:rPr>
          <w:rFonts w:cstheme="minorHAnsi"/>
          <w:sz w:val="32"/>
          <w:szCs w:val="32"/>
        </w:rPr>
        <w:t xml:space="preserve"> Gerusalemme, 13 cheshvan 5719 [27 ottobre 1958]</w:t>
      </w:r>
    </w:p>
    <w:p w14:paraId="6932E836" w14:textId="77777777" w:rsidR="00DA72DA" w:rsidRPr="00A220D9" w:rsidRDefault="00DA72DA" w:rsidP="00CE777F">
      <w:pPr>
        <w:spacing w:after="0" w:line="240" w:lineRule="auto"/>
        <w:rPr>
          <w:rFonts w:cstheme="minorHAnsi"/>
          <w:smallCaps/>
          <w:sz w:val="32"/>
          <w:szCs w:val="32"/>
        </w:rPr>
      </w:pPr>
    </w:p>
    <w:p w14:paraId="610356AD" w14:textId="77777777" w:rsidR="00DA72DA" w:rsidRPr="00A220D9" w:rsidRDefault="00DA72DA" w:rsidP="00CE777F">
      <w:pPr>
        <w:spacing w:after="0" w:line="240" w:lineRule="auto"/>
        <w:jc w:val="both"/>
        <w:rPr>
          <w:rFonts w:cstheme="minorHAnsi"/>
          <w:i/>
          <w:smallCaps/>
          <w:sz w:val="32"/>
          <w:szCs w:val="32"/>
        </w:rPr>
      </w:pPr>
      <w:r w:rsidRPr="00A220D9">
        <w:rPr>
          <w:rFonts w:cstheme="minorHAnsi"/>
          <w:sz w:val="32"/>
          <w:szCs w:val="32"/>
        </w:rPr>
        <w:t xml:space="preserve">Signore…, Mi rivolgo a Sua Eccellenza in seguito a un provvedimento del governo di Israele, adottato il 15 luglio 1958, con cui è stata nominata una commissione composta dal Primo ministro, dal ministro della Giustizia e dal ministro degli Interni. La commissione dovrà esaminare le direttive da applicare in merito all’iscrizione di figli nati da matrimoni misti i cui genitori, il padre e la madre, desiderano che siano registrati come ebrei. Con questa decisione, il governo ha incaricato la commissione di sondare l’opinione di Saggi di Israele, nel paese e fuori, e di formulare direttive “che siano conformi alla tradizione riconosciuta da tutti gli ambiti dell’ebraismo, gli ortodossi, i liberi pensatori e le loro diverse correnti; conformi anche alle specifiche condizioni di Israele in quanto stato ebraico sovrano, in cui è garantita la libertà di coscienza e di culto e che costituisce il focolare degli esili”. Lo stato civile è in vigore in Israele dal 1949, e tra le voci che la legge obbliga a riempire figurano la rubrica “religione” e la rubrica “nazione”. L’applicazione della legge dipende dal ministero degli Interni. I funzionari dello stato civile sono dal canto loro qualificati per esigere dai residenti in Israele, nell’obbligo di iscriversi, i documenti e le informazioni necessarie alla verifica dei fatti presentati, prima di registrarli. Ogni residente ottiene una carta di identità che corrisponde al proprio stato civile; questa assolve diverse funzioni e, nei periodi di emergenza, si richiede perfino che tutti i residenti non se ne separino, ovunque si trovino. Di quando in quando si levano voci per chiedere che lo stato civile sia abrogato, o che almeno siano annullate le rubriche religione e nazione, ma ragioni di sicurezza, legate alla nostra situazione particolare, ci hanno fino a ora impedito, e ci impediranno ancora in un prossimo avvenire, di accogliere la richiesta. Dato che ci è impossibile assicurare una sorveglianza costante ed effettiva delle nostre frontiere, al fine di evitare le infiltrazioni dai paesi vicini nemici che rappresentano una grave fonte di pericolo per il nostro Stato e per i suoi residenti, è indispensabile che i residenti legali in Israele possano in ogni momento essere identificati con l’aiuto della carta di identità ottenuta dalle autorità competenti. Le leggi di Israele proibiscono ogni discriminazione di razza, di colore, di origine, di religione o di sesso, ma [sic! Da intendersi come “vi”] è tuttavia un diritto di cui godono solo gli ebrei in virtù della legge del Ritorno. I non ebrei desiderosi di immigrare in Israele devono </w:t>
      </w:r>
      <w:r w:rsidRPr="00A220D9">
        <w:rPr>
          <w:rFonts w:cstheme="minorHAnsi"/>
          <w:sz w:val="32"/>
          <w:szCs w:val="32"/>
        </w:rPr>
        <w:lastRenderedPageBreak/>
        <w:t xml:space="preserve">ottenere un’autorizzazione che lo Stato può loro rifiutare; e se si stabiliscono in Israele possono richiedere la nazionalità israeliana solo dopo due anni. Gli ebrei sono invece autorizzati a immigrare in virtù della legge del Ritorno per il solo fatto che sono ebrei (tranne nel caso di criminali suscettibili di rappresentare una minaccia per la società, o di malati che possono mettere in pericolo la salute pubblica). Appena arrivati in Israele, e dopo aver espresso la propria volontà di stabilirvisi, diventano automaticamente e immediatamente cittadini israeliani. È ugualmente indispensabile determinare la religione dei residenti di Israele per la seguente ragione: secondo le leggi israeliane, i matrimoni e i divorzi sono di competenza dei tribunali religiosi: tribunali coranici per i musulmani, tribunali religiosi delle diverse Chiese per i cristiani e tribunali rabbinici per gli ebrei. La legislazione israeliana vuole che i matrimoni siano celebrati e i divorzi pronunciati unicamente secondo le regole religiose e con cerimonie religiose: secondo la legge, in Israele, i matrimoni e i divorzi degli ebrei sono regolati soltanto dalla legge della Torah. Si pone quindi il problema della modalità di registrare lo stato civile, sotto le voci religione e nazione, dei figli nati da matrimoni misti, quando il padre è ebreo e la madre non lo è e non si è convertita, ma quando entrambi sono d’accordo che il figlio sia iscritto come ebreo. Alcuni affermano che, poiché l’amministrazione è civile e non presta servizio per scopi religiosi (le autorità religiose competenti non sono obbligate, e in generale, non accettano di accontentarsene o di farvi riferimento), non si devono utilizzare criteri religiosi. Altri invece sono dell’opinione che, essendo la nazione e la religione indissolubilmente legate, ed essendo l’appartenenza religiosa, per sua natura, una questione religiosa, è opportuno utilizzare criteri religiosi per l’iscrizione della nazione e della religione. Il governo ha deciso che si registrerà come “ebraica” la religione e la nazione di ogni persona adulta che dichiara in buona fede di essere ebrea e di non appartenere a nessun’altra religione. Per la legge sull’uguaglianza dei diritti della donna in vigore in Israele, entrambi i genitori sono i tutori del figlio; se uno dei due muore, quello che gli sopravvive diventa il tutore. In generale, si accetterà perciò la dichiarazione dei due genitori nel caso in cui sia necessaria la dichiarazione di un minorenne. Ma per l’iscrizione allo stato civile di figli nati da matrimoni misti si pone un problema quando la madre non è ebrea e non si è convertita ma è d’accordo con il padre che il figlio sia ebreo: si deve allora </w:t>
      </w:r>
      <w:r w:rsidRPr="00A220D9">
        <w:rPr>
          <w:rFonts w:cstheme="minorHAnsi"/>
          <w:sz w:val="32"/>
          <w:szCs w:val="32"/>
        </w:rPr>
        <w:lastRenderedPageBreak/>
        <w:t xml:space="preserve">registrarlo come ebreo, basandosi sull’espressione della volontà dei genitori e sulla loro dichiarazione in buona fede secondo la quale il figlio non ha nessun’altra religione, oppure, perché il figlio possa essere iscritto come ebreo, si deve esigere, oltre all’accordo dei genitori e alla dichiarazione una qualsiasi cerimonia? Una commissione di tre persone è stata incaricata di presentare le proprie conclusioni al governo dopo aver ricevuto i pareri dei Saggi di Israele, come si è già detto. Per una migliore comprensione del problema, si devono inoltre evidenziare quattro considerazioni: 1. Lo Stato di Israele – nella dichiarazione di Indipendenza come pure in tutte le direttive dei governi che si sono succeduti fino a ora, cui hanno partecipato partiti religiosi e laici – garantisce il principio della libertà di coscienza e di religione. Qualsiasi coercizione religiosa o antireligiosa è proibita, ogni ebreo può essere religioso o non religioso. 2. Israele è oggi un centro di riunione degli esiliati. Gli immigranti arrivano dall’Oriente e dall’Occidente, da paesi sviluppati e da paesi sottosviluppati. La fusione degli esili e la loro trasformazione in un modello nazionale costituisce uno dei compiti più importanti e più difficili che Israele deve affrontare. Dobbiamo perciò fare grandi sforzi per moltiplicare ciò che ci unisce ed eliminare per quanto possibile tutto ciò che divide. 3. La popolazione ebraica in Israele è diversa da quella della diaspora. Non siamo qui una minoranza sottoposta alla pressione di una cultura straniera e non temiamo l’assimilazione degli ebrei da parte dei non ebrei, come nei paesi prosperi e liberi. Al contrario, possiamo qui osservare la tendenza a una assimilazione dei non ebrei al popolo ebraico, in particolare tra le famiglie di persone provenienti da matrimoni misti che immigrano in Israele. Mentre nella diaspora i matrimoni misti rappresentano uno dei fattori più importanti di assimilazione e di abbandono dell’ebraismo, le famiglie miste che arrivano in Israele, soprattutto dai paesi dell’Europa orientale, riescono a fondersi completamente con il popolo ebraico. 4. La popolazione di Israele non si considera tuttavia una nazione distinta dall’ebraismo della diaspora, al contrario. Nessun gruppo ebraico nel mondo nutre, come quello di Israele, un sentimento così profondo di unione e di identità con tutti gli ebrei del mondo. Non è un caso se le direttive esigono dal governo che esso cerchi di “approfondire la coscienza ebraica della gioventù israeliana, di unirla al passato del popolo ebraico e al suo patrimonio storico e di ampliare le sue relazioni spirituali con l’ebraismo mondiale, a partire </w:t>
      </w:r>
      <w:r w:rsidRPr="00A220D9">
        <w:rPr>
          <w:rFonts w:cstheme="minorHAnsi"/>
          <w:sz w:val="32"/>
          <w:szCs w:val="32"/>
        </w:rPr>
        <w:lastRenderedPageBreak/>
        <w:t xml:space="preserve">dalla conoscenza del destino comune e della continuità storica che unisce gli ebrei del mondo intero, di tutti i tempi e di tutti i paesi”. Le saremmo, perciò, riconoscenti se vorrà farci partecipi della Sua opinione sul modo in cui devono essere registrati i figli di matrimoni misti quando i due genitori, sia il padre ebreo che la madre non ebrea, desiderano registrarli come ebrei. </w:t>
      </w:r>
    </w:p>
    <w:p w14:paraId="58211CBD" w14:textId="77777777" w:rsidR="00DA72DA" w:rsidRPr="00A220D9" w:rsidRDefault="00DA72DA" w:rsidP="00CE777F">
      <w:pPr>
        <w:spacing w:after="0" w:line="240" w:lineRule="auto"/>
        <w:jc w:val="right"/>
        <w:rPr>
          <w:rFonts w:cstheme="minorHAnsi"/>
          <w:i/>
          <w:smallCaps/>
          <w:sz w:val="32"/>
          <w:szCs w:val="32"/>
        </w:rPr>
      </w:pPr>
      <w:r w:rsidRPr="00A220D9">
        <w:rPr>
          <w:rFonts w:cstheme="minorHAnsi"/>
          <w:i/>
          <w:sz w:val="32"/>
          <w:szCs w:val="32"/>
        </w:rPr>
        <w:t>David Ben Gurion</w:t>
      </w:r>
    </w:p>
    <w:p w14:paraId="09585C19" w14:textId="77777777" w:rsidR="00DA72DA" w:rsidRPr="00A220D9" w:rsidRDefault="00DA72DA" w:rsidP="00CE777F">
      <w:pPr>
        <w:spacing w:after="0" w:line="240" w:lineRule="auto"/>
        <w:rPr>
          <w:rFonts w:cstheme="minorHAnsi"/>
          <w:i/>
          <w:smallCaps/>
          <w:sz w:val="32"/>
          <w:szCs w:val="32"/>
        </w:rPr>
      </w:pPr>
    </w:p>
    <w:p w14:paraId="1DD1F1F7" w14:textId="77777777" w:rsidR="00DA72DA" w:rsidRPr="00A220D9" w:rsidRDefault="00DA72DA" w:rsidP="00CE777F">
      <w:pPr>
        <w:spacing w:after="0" w:line="240" w:lineRule="auto"/>
        <w:jc w:val="both"/>
        <w:rPr>
          <w:rFonts w:cstheme="minorHAnsi"/>
          <w:i/>
          <w:smallCaps/>
          <w:sz w:val="32"/>
          <w:szCs w:val="32"/>
        </w:rPr>
      </w:pPr>
      <w:r w:rsidRPr="00A220D9">
        <w:rPr>
          <w:rFonts w:cstheme="minorHAnsi"/>
          <w:b/>
          <w:sz w:val="32"/>
          <w:szCs w:val="32"/>
        </w:rPr>
        <w:t xml:space="preserve">B) </w:t>
      </w:r>
      <w:r w:rsidRPr="00A220D9">
        <w:rPr>
          <w:rFonts w:cstheme="minorHAnsi"/>
          <w:sz w:val="32"/>
          <w:szCs w:val="32"/>
        </w:rPr>
        <w:t xml:space="preserve"> Dante Lattes (1876-1965). </w:t>
      </w:r>
      <w:r w:rsidRPr="00A220D9">
        <w:rPr>
          <w:rFonts w:cstheme="minorHAnsi"/>
          <w:i/>
          <w:sz w:val="32"/>
          <w:szCs w:val="32"/>
        </w:rPr>
        <w:t>Scrittore, giornalista ed educatore, nasce a Pitigliano (Grosseto) e, ancora bambino, si trasferisce con la famiglia a Livorno. Studia nella scuola ebraica e frequenta il Collegio Rabbinico, sotto la guida di Elia Benamozegh. Ordinato rabbino, si trasferisce a Trieste nel 1898 e inizia la carriera giornalistica presso “Il Corriere Israelitico”. Questo lavoro si accompagna a quello di insegnante di ebraico nelle scuole israelitiche della città. Nel 1903 diventa direttore del “Corriere israelitico”, incarico che mantiene fino allo scoppio della Prima guerra mondiale. Nel 1916, a Firenze, insieme ad Alfonso Pacifici, pubblica il settimanale “Israel”</w:t>
      </w:r>
      <w:r w:rsidRPr="00A220D9">
        <w:rPr>
          <w:rFonts w:cstheme="minorHAnsi"/>
          <w:sz w:val="32"/>
          <w:szCs w:val="32"/>
        </w:rPr>
        <w:t xml:space="preserve"> </w:t>
      </w:r>
      <w:r w:rsidRPr="00A220D9">
        <w:rPr>
          <w:rFonts w:cstheme="minorHAnsi"/>
          <w:i/>
          <w:sz w:val="32"/>
          <w:szCs w:val="32"/>
        </w:rPr>
        <w:t xml:space="preserve">e, più tardi, nel 1925, fonda il periodico culturale “La Rassegna Mensile di Israel”. Sionista della prima ora, ha tradotto in italiano i testi sionisti classici. Insegna lingua e letteratura ebraiche all’Istituto di lingue orientali di Roma e pubblica testi di esegesi biblica. Tra i suoi lavori: </w:t>
      </w:r>
      <w:r w:rsidRPr="00A220D9">
        <w:rPr>
          <w:rFonts w:cstheme="minorHAnsi"/>
          <w:sz w:val="32"/>
          <w:szCs w:val="32"/>
        </w:rPr>
        <w:t>Apologia</w:t>
      </w:r>
      <w:r w:rsidRPr="00A220D9">
        <w:rPr>
          <w:rFonts w:cstheme="minorHAnsi"/>
          <w:i/>
          <w:sz w:val="32"/>
          <w:szCs w:val="32"/>
        </w:rPr>
        <w:t xml:space="preserve"> </w:t>
      </w:r>
      <w:r w:rsidRPr="00A220D9">
        <w:rPr>
          <w:rFonts w:cstheme="minorHAnsi"/>
          <w:sz w:val="32"/>
          <w:szCs w:val="32"/>
        </w:rPr>
        <w:t>dell’Ebraismo</w:t>
      </w:r>
      <w:r w:rsidRPr="00A220D9">
        <w:rPr>
          <w:rFonts w:cstheme="minorHAnsi"/>
          <w:i/>
          <w:sz w:val="32"/>
          <w:szCs w:val="32"/>
        </w:rPr>
        <w:t xml:space="preserve"> (1923) e </w:t>
      </w:r>
      <w:r w:rsidRPr="00A220D9">
        <w:rPr>
          <w:rFonts w:cstheme="minorHAnsi"/>
          <w:sz w:val="32"/>
          <w:szCs w:val="32"/>
        </w:rPr>
        <w:t>Il Sionismo</w:t>
      </w:r>
      <w:r w:rsidRPr="00A220D9">
        <w:rPr>
          <w:rFonts w:cstheme="minorHAnsi"/>
          <w:i/>
          <w:sz w:val="32"/>
          <w:szCs w:val="32"/>
        </w:rPr>
        <w:t xml:space="preserve"> (1928). </w:t>
      </w:r>
    </w:p>
    <w:p w14:paraId="1A3C6421" w14:textId="77777777" w:rsidR="00DA72DA" w:rsidRPr="00A220D9" w:rsidRDefault="00DA72DA" w:rsidP="00CE777F">
      <w:pPr>
        <w:spacing w:after="0" w:line="240" w:lineRule="auto"/>
        <w:rPr>
          <w:rFonts w:cstheme="minorHAnsi"/>
          <w:i/>
          <w:smallCaps/>
          <w:sz w:val="32"/>
          <w:szCs w:val="32"/>
        </w:rPr>
      </w:pPr>
    </w:p>
    <w:p w14:paraId="19D9FFD6" w14:textId="77777777" w:rsidR="00DA72DA" w:rsidRPr="00A220D9" w:rsidRDefault="00DA72DA" w:rsidP="00CE777F">
      <w:pPr>
        <w:spacing w:after="0" w:line="240" w:lineRule="auto"/>
        <w:rPr>
          <w:rFonts w:cstheme="minorHAnsi"/>
          <w:smallCaps/>
          <w:sz w:val="32"/>
          <w:szCs w:val="32"/>
        </w:rPr>
      </w:pPr>
      <w:r w:rsidRPr="00A220D9">
        <w:rPr>
          <w:rFonts w:cstheme="minorHAnsi"/>
          <w:sz w:val="32"/>
          <w:szCs w:val="32"/>
        </w:rPr>
        <w:t>Roma, 16 shevat 5719 (25 gennaio 1959)</w:t>
      </w:r>
    </w:p>
    <w:p w14:paraId="5B3870E9" w14:textId="77777777" w:rsidR="00DA72DA" w:rsidRPr="00A220D9" w:rsidRDefault="00DA72DA" w:rsidP="00CE777F">
      <w:pPr>
        <w:spacing w:after="0" w:line="240" w:lineRule="auto"/>
        <w:rPr>
          <w:rFonts w:cstheme="minorHAnsi"/>
          <w:smallCaps/>
          <w:sz w:val="32"/>
          <w:szCs w:val="32"/>
        </w:rPr>
      </w:pPr>
    </w:p>
    <w:p w14:paraId="1F506F04" w14:textId="77777777" w:rsidR="00DA72DA" w:rsidRPr="00A220D9" w:rsidRDefault="00DA72DA" w:rsidP="00CE777F">
      <w:pPr>
        <w:spacing w:after="0" w:line="240" w:lineRule="auto"/>
        <w:rPr>
          <w:rFonts w:cstheme="minorHAnsi"/>
          <w:smallCaps/>
          <w:sz w:val="32"/>
          <w:szCs w:val="32"/>
        </w:rPr>
      </w:pPr>
      <w:r w:rsidRPr="00A220D9">
        <w:rPr>
          <w:rFonts w:cstheme="minorHAnsi"/>
          <w:sz w:val="32"/>
          <w:szCs w:val="32"/>
        </w:rPr>
        <w:t xml:space="preserve"> Signor Primo ministro,</w:t>
      </w:r>
    </w:p>
    <w:p w14:paraId="6BBFB428" w14:textId="77777777" w:rsidR="00DA72DA" w:rsidRPr="00A220D9" w:rsidRDefault="00DA72DA" w:rsidP="00CE777F">
      <w:pPr>
        <w:spacing w:after="0" w:line="240" w:lineRule="auto"/>
        <w:jc w:val="both"/>
        <w:rPr>
          <w:rFonts w:cstheme="minorHAnsi"/>
          <w:smallCaps/>
          <w:sz w:val="32"/>
          <w:szCs w:val="32"/>
        </w:rPr>
      </w:pPr>
      <w:r w:rsidRPr="00A220D9">
        <w:rPr>
          <w:rFonts w:cstheme="minorHAnsi"/>
          <w:sz w:val="32"/>
          <w:szCs w:val="32"/>
        </w:rPr>
        <w:t xml:space="preserve"> Ho ricevuto la Sua lettera del 27 ottobre 1958, inviata per posta ufficiale da Gerusalemme il 2 dicembre 1958, soltanto il 22 gennaio 1959. La prego di scusare il ritardo della mia risposta, indipendente dalla mia volontà. Sull’iscrizione [allo stato civile] dei figli di matrimoni misti i cui genitori, il padre come la madre, esprimono il desiderio di iscrivere come ebrei, è auspicabile, a mio parere, non respingerli e non escluderli ma accoglierli nel </w:t>
      </w:r>
      <w:r w:rsidRPr="00A220D9">
        <w:rPr>
          <w:rFonts w:cstheme="minorHAnsi"/>
          <w:i/>
          <w:sz w:val="32"/>
          <w:szCs w:val="32"/>
        </w:rPr>
        <w:lastRenderedPageBreak/>
        <w:t xml:space="preserve">kelal </w:t>
      </w:r>
      <w:r w:rsidRPr="00A220D9">
        <w:rPr>
          <w:rFonts w:cstheme="minorHAnsi"/>
          <w:sz w:val="32"/>
          <w:szCs w:val="32"/>
        </w:rPr>
        <w:t xml:space="preserve">[comunità di] Israel. Visto che l’iscrizione [allo stato civile] non ha niente a che vedere con la religione e non ha finalità religiose, ma il solo scopo di segnalare che la persona iscritta non è né cristiana, né musulmana e che perciò non è necessario temere che sia un pericolo per lo Stato o che possa arrecare danno allo </w:t>
      </w:r>
      <w:r w:rsidRPr="00A220D9">
        <w:rPr>
          <w:rFonts w:cstheme="minorHAnsi"/>
          <w:i/>
          <w:sz w:val="32"/>
          <w:szCs w:val="32"/>
        </w:rPr>
        <w:t xml:space="preserve">yishuv </w:t>
      </w:r>
      <w:r w:rsidRPr="00A220D9">
        <w:rPr>
          <w:rFonts w:cstheme="minorHAnsi"/>
          <w:sz w:val="32"/>
          <w:szCs w:val="32"/>
        </w:rPr>
        <w:t xml:space="preserve">[insediamento ebraico in terra d'Israele], non c’è alcun dubbio, a mio avviso, che sarebbe ingiusto toglierle il privilegio e la dignità di appartenere al popolo di Israele. Questa persona non appartiene a nessun’altra religione e a nessun’altra nazione; è cittadina del paese, con i suoi genitori, frequenta o frequenterà scuole ebraiche e parlerà ebraico; tutta la sua educazione e le sue conoscenze avranno una fonte ebraica e apparterranno alla cultura storica millenaria, da Abramo ai giorni nostri. I rabbini, gli insegnanti e i dirigenti del popolo hanno il dovere di accogliere il figlio di madre non ebrea, [di fargli conoscere] l’ebraismo nella sua pienezza e nella sua verità! Il governo ha il dovere di pubblicare e di stampare a margine o dietro le carte di identità che il termine ebreo iscritto nella rubrica nazione non ha alcun significato religioso e non lede affatto [l’autorità] giuridica dei tribunali rabbinici, né la tradizione del popolo né il diritto ebraico corrente. È soltanto una decisione resa necessaria dalle circostanze a beneficio del popolo e per la pace dello Stato. La prego di accogliere, signor Primo ministro, l’espressione più sincera del mio rispetto e della mia amicizia. </w:t>
      </w:r>
    </w:p>
    <w:p w14:paraId="346F5C37" w14:textId="77777777" w:rsidR="00DA72DA" w:rsidRPr="00A220D9" w:rsidRDefault="00DA72DA" w:rsidP="00CE777F">
      <w:pPr>
        <w:spacing w:after="0" w:line="240" w:lineRule="auto"/>
        <w:rPr>
          <w:rFonts w:cstheme="minorHAnsi"/>
          <w:smallCaps/>
          <w:sz w:val="32"/>
          <w:szCs w:val="32"/>
        </w:rPr>
      </w:pPr>
    </w:p>
    <w:p w14:paraId="2F318339" w14:textId="77777777" w:rsidR="00DA72DA" w:rsidRPr="00A220D9" w:rsidRDefault="00DA72DA" w:rsidP="00CE777F">
      <w:pPr>
        <w:spacing w:after="0" w:line="240" w:lineRule="auto"/>
        <w:rPr>
          <w:rFonts w:cstheme="minorHAnsi"/>
          <w:smallCaps/>
          <w:sz w:val="32"/>
          <w:szCs w:val="32"/>
        </w:rPr>
      </w:pPr>
    </w:p>
    <w:p w14:paraId="1983E200" w14:textId="77777777" w:rsidR="00DA72DA" w:rsidRPr="00A220D9" w:rsidRDefault="00DA72DA" w:rsidP="00CE777F">
      <w:pPr>
        <w:spacing w:after="0" w:line="240" w:lineRule="auto"/>
        <w:jc w:val="both"/>
        <w:rPr>
          <w:rFonts w:cstheme="minorHAnsi"/>
          <w:i/>
          <w:smallCaps/>
          <w:sz w:val="32"/>
          <w:szCs w:val="32"/>
        </w:rPr>
      </w:pPr>
      <w:r w:rsidRPr="00A220D9">
        <w:rPr>
          <w:rFonts w:cstheme="minorHAnsi"/>
          <w:b/>
          <w:sz w:val="32"/>
          <w:szCs w:val="32"/>
        </w:rPr>
        <w:t>C)</w:t>
      </w:r>
      <w:r w:rsidRPr="00A220D9">
        <w:rPr>
          <w:rFonts w:cstheme="minorHAnsi"/>
          <w:sz w:val="32"/>
          <w:szCs w:val="32"/>
        </w:rPr>
        <w:t xml:space="preserve"> </w:t>
      </w:r>
      <w:r w:rsidRPr="00A220D9">
        <w:rPr>
          <w:rFonts w:cstheme="minorHAnsi"/>
          <w:i/>
          <w:sz w:val="32"/>
          <w:szCs w:val="32"/>
        </w:rPr>
        <w:t xml:space="preserve">Elio Raffaele Toaff (1915-2015). Figlio di Alfredo Sabato Toaff, nasce a Livorno. Nel 1939 ottiene la laurea rabbinica presso il Collegio rabbinico della città di cui è l’ultimo allievo. L’istituto chiuderà i battenti poco dopo a causa delle leggi razziali. Nello stesso anno si laurea in Giurisprudenza all’Università di Pisa. Nel 1940 è nominato Rabbino Capo della comunità di Ancona, carica che ricoprirà fino al 1946. Nel 1943, peraltro, Toaff è costretto a lasciare Ancona e a rifugiarsi con la famiglia in Toscana. Il periodo della clandestinità è segnato anche dalla sua partecipazione alla Resistenza. Ritorna ad Ancona dopo la Liberazione. Dal 1946 al 1951 è Rabbino Capo della comunità di Venezia. Dal 1951 al 2001 è Rabbino Capo della comunità di Roma. Toaff è </w:t>
      </w:r>
      <w:r w:rsidRPr="00A220D9">
        <w:rPr>
          <w:rFonts w:cstheme="minorHAnsi"/>
          <w:i/>
          <w:sz w:val="32"/>
          <w:szCs w:val="32"/>
        </w:rPr>
        <w:lastRenderedPageBreak/>
        <w:t xml:space="preserve">stato inoltre Direttore del Collegio rabbinico italiano di Roma dal 1963 al 1992 e curatore dell’Annuario di Studi ebraici. Ha scritto su temi biblici e storici. </w:t>
      </w:r>
    </w:p>
    <w:p w14:paraId="7381C7A1" w14:textId="77777777" w:rsidR="00DA72DA" w:rsidRPr="00A220D9" w:rsidRDefault="00DA72DA" w:rsidP="00CE777F">
      <w:pPr>
        <w:spacing w:after="0" w:line="240" w:lineRule="auto"/>
        <w:rPr>
          <w:rFonts w:cstheme="minorHAnsi"/>
          <w:smallCaps/>
          <w:sz w:val="32"/>
          <w:szCs w:val="32"/>
        </w:rPr>
      </w:pPr>
    </w:p>
    <w:p w14:paraId="54D45D14" w14:textId="77777777" w:rsidR="00DA72DA" w:rsidRPr="00A220D9" w:rsidRDefault="00DA72DA" w:rsidP="00CE777F">
      <w:pPr>
        <w:spacing w:after="0" w:line="240" w:lineRule="auto"/>
        <w:rPr>
          <w:rFonts w:cstheme="minorHAnsi"/>
          <w:smallCaps/>
          <w:sz w:val="32"/>
          <w:szCs w:val="32"/>
        </w:rPr>
      </w:pPr>
      <w:r w:rsidRPr="00A220D9">
        <w:rPr>
          <w:rFonts w:cstheme="minorHAnsi"/>
          <w:sz w:val="32"/>
          <w:szCs w:val="32"/>
        </w:rPr>
        <w:t xml:space="preserve">Roma, 5 tevet 5719 </w:t>
      </w:r>
    </w:p>
    <w:p w14:paraId="7203B030" w14:textId="77777777" w:rsidR="00DA72DA" w:rsidRPr="00A220D9" w:rsidRDefault="00DA72DA" w:rsidP="00CE777F">
      <w:pPr>
        <w:spacing w:after="0" w:line="240" w:lineRule="auto"/>
        <w:jc w:val="both"/>
        <w:rPr>
          <w:rFonts w:cstheme="minorHAnsi"/>
          <w:smallCaps/>
          <w:sz w:val="32"/>
          <w:szCs w:val="32"/>
        </w:rPr>
      </w:pPr>
      <w:r w:rsidRPr="00A220D9">
        <w:rPr>
          <w:rFonts w:cstheme="minorHAnsi"/>
          <w:sz w:val="32"/>
          <w:szCs w:val="32"/>
        </w:rPr>
        <w:t xml:space="preserve">Signor Primo ministro David Ben Gurion Mi permetta, in primo luogo, di protestare contro uno scandalo come non ce ne sono mai stati nella storia del popolo di Israele: che un problema fondamentale di </w:t>
      </w:r>
      <w:r w:rsidRPr="00A220D9">
        <w:rPr>
          <w:rFonts w:cstheme="minorHAnsi"/>
          <w:i/>
          <w:sz w:val="32"/>
          <w:szCs w:val="32"/>
        </w:rPr>
        <w:t>halakàh</w:t>
      </w:r>
      <w:r w:rsidRPr="00A220D9">
        <w:rPr>
          <w:rFonts w:cstheme="minorHAnsi"/>
          <w:sz w:val="32"/>
          <w:szCs w:val="32"/>
        </w:rPr>
        <w:t xml:space="preserve"> sia posto anche a persone che non hanno niente in comune con la Torah. Tra coloro che Lei chiama Saggi di Israele, alcuni profanano persino lo Shabbath. Per questa ragione ho molta esitazione a rispondere alla Sua lettera che mi è giunta soltanto qualche giorno fa, tanto più che il Gran Rabbinato di Israele, che consideriamo l’istituzione religiosa suprema della nostra epoca, ha espresso il suo parere sulla questione in modo chiaro e deciso. Esprimo tuttavia il mio parere affinché il mio silenzio non venga erroneamente interpretato come un’adesione alle opinioni della Sua lettera e lo faccio per coloro che agiscono positivamente per adempiere a quanto detto dai Saggi, cioè che chiunque porti gli altri alla virtù non si macchia di un peccato, chiunque porti gli altri a fuorviarsi non potrà mai fare abbastanza per espiare. Il governo di Israele non ha, più di qualsiasi altra istituzione, il diritto di registrare i figli di matrimoni misti come ebrei, secondo il desiderio dei genitori, quando si tratta di padre ebreo e di madre non ebrea. Perché il figlio sia ebreo, si devono compiere la circoncisione e l’immersione rituale per la conversione, secondo le regole di Israele e le decisioni dei Saggi del Talmud, e secondo la </w:t>
      </w:r>
      <w:r w:rsidRPr="00A220D9">
        <w:rPr>
          <w:rFonts w:cstheme="minorHAnsi"/>
          <w:i/>
          <w:sz w:val="32"/>
          <w:szCs w:val="32"/>
        </w:rPr>
        <w:t>halakàh</w:t>
      </w:r>
      <w:r w:rsidRPr="00A220D9">
        <w:rPr>
          <w:rFonts w:cstheme="minorHAnsi"/>
          <w:sz w:val="32"/>
          <w:szCs w:val="32"/>
        </w:rPr>
        <w:t xml:space="preserve"> ebraica santificata da generazioni, i cui interpreti sono solo i rabbini qualificati. Mi permetta, per concludere, di esprimere la speranza che Lei, che tanto ha fatto per la creazione dello Stato di Israele, toccando i fondamenti della nostra santa Torah, non divida il popolo e non crei un abisso tra lo Stato di Israele e il popolo di Israele nel mondo. Con tutto il rispetto che Le è dovuto.</w:t>
      </w:r>
    </w:p>
    <w:p w14:paraId="128B1F2C" w14:textId="77777777" w:rsidR="00DA72DA" w:rsidRPr="00A220D9" w:rsidRDefault="00DA72DA" w:rsidP="00CE777F">
      <w:pPr>
        <w:spacing w:after="0" w:line="240" w:lineRule="auto"/>
        <w:rPr>
          <w:rFonts w:cstheme="minorHAnsi"/>
          <w:smallCaps/>
          <w:sz w:val="32"/>
          <w:szCs w:val="32"/>
        </w:rPr>
      </w:pPr>
    </w:p>
    <w:p w14:paraId="7E3786AA" w14:textId="74D1E58D" w:rsidR="00DA72DA" w:rsidRPr="00A220D9" w:rsidRDefault="00DA72DA" w:rsidP="00CE777F">
      <w:pPr>
        <w:spacing w:after="0" w:line="240" w:lineRule="auto"/>
        <w:jc w:val="both"/>
        <w:rPr>
          <w:rFonts w:cstheme="minorHAnsi"/>
          <w:smallCaps/>
          <w:sz w:val="32"/>
          <w:szCs w:val="32"/>
        </w:rPr>
      </w:pPr>
      <w:r w:rsidRPr="00A220D9">
        <w:rPr>
          <w:rFonts w:cstheme="minorHAnsi"/>
          <w:sz w:val="32"/>
          <w:szCs w:val="32"/>
        </w:rPr>
        <w:t xml:space="preserve">«La definizione di chi è ebreo nella legge del Ritorno (ʺÈ ebreo colui che nasce da madre ebrea, chi si converte e non pratica altra religione ˮ) è problematica e andrebbe eliminata insieme alla concezione antiquata di uno </w:t>
      </w:r>
      <w:r w:rsidRPr="00A220D9">
        <w:rPr>
          <w:rFonts w:cstheme="minorHAnsi"/>
          <w:sz w:val="32"/>
          <w:szCs w:val="32"/>
        </w:rPr>
        <w:lastRenderedPageBreak/>
        <w:t xml:space="preserve">ʺStato nazioneˮ. […] Israele deve abbandonare le definizioni sancite dalle leggi di Norimberga, che consideravano ebreo chiunque avesse sangue ebraico fino alla quarta generazione, così come quelle stabilite dalla legge del Ritorno e dalla pratica invalsa che prevede una conversione secondo le più rigorose regole dell’ortodossia» (Avraham Burg, </w:t>
      </w:r>
      <w:r w:rsidRPr="00A220D9">
        <w:rPr>
          <w:rFonts w:cstheme="minorHAnsi"/>
          <w:i/>
          <w:iCs/>
          <w:sz w:val="32"/>
          <w:szCs w:val="32"/>
        </w:rPr>
        <w:t>Sconfiggere Hitler. Per un nuovo universalismo e umanesimo ebraico</w:t>
      </w:r>
      <w:r w:rsidRPr="00A220D9">
        <w:rPr>
          <w:rFonts w:cstheme="minorHAnsi"/>
          <w:sz w:val="32"/>
          <w:szCs w:val="32"/>
        </w:rPr>
        <w:t xml:space="preserve">, a cura di E. Loewenthal, Neri Pozza, Vicenza 2008; ed. orig. </w:t>
      </w:r>
      <w:r w:rsidRPr="00A220D9">
        <w:rPr>
          <w:rFonts w:cstheme="minorHAnsi"/>
          <w:i/>
          <w:iCs/>
          <w:sz w:val="32"/>
          <w:szCs w:val="32"/>
        </w:rPr>
        <w:t xml:space="preserve">Defeat Hitler, </w:t>
      </w:r>
      <w:r w:rsidRPr="00A220D9">
        <w:rPr>
          <w:rFonts w:cstheme="minorHAnsi"/>
          <w:sz w:val="32"/>
          <w:szCs w:val="32"/>
        </w:rPr>
        <w:t xml:space="preserve">2007. Dal 1999 al 2003 Burg fu presidente della Knesset. Cit. in B. Larsson, </w:t>
      </w:r>
      <w:r w:rsidRPr="00A220D9">
        <w:rPr>
          <w:rFonts w:cstheme="minorHAnsi"/>
          <w:i/>
          <w:iCs/>
          <w:sz w:val="32"/>
          <w:szCs w:val="32"/>
        </w:rPr>
        <w:t>La lettera di Gertrud</w:t>
      </w:r>
      <w:r w:rsidRPr="00A220D9">
        <w:rPr>
          <w:rFonts w:cstheme="minorHAnsi"/>
          <w:sz w:val="32"/>
          <w:szCs w:val="32"/>
        </w:rPr>
        <w:t>, Iperborea, Milano 2019 [ed. orig. 2018] p. 238).</w:t>
      </w:r>
    </w:p>
    <w:p w14:paraId="333623FD" w14:textId="77777777" w:rsidR="00DA72DA" w:rsidRPr="00A220D9" w:rsidRDefault="00DA72DA" w:rsidP="00CE777F">
      <w:pPr>
        <w:spacing w:after="0" w:line="240" w:lineRule="auto"/>
        <w:rPr>
          <w:rFonts w:cstheme="minorHAnsi"/>
          <w:b/>
          <w:smallCaps/>
          <w:sz w:val="32"/>
          <w:szCs w:val="32"/>
        </w:rPr>
      </w:pPr>
    </w:p>
    <w:p w14:paraId="3F0F810B" w14:textId="77777777" w:rsidR="00DA72DA" w:rsidRPr="00A220D9" w:rsidRDefault="00DA72DA" w:rsidP="00CE777F">
      <w:pPr>
        <w:spacing w:after="0" w:line="240" w:lineRule="auto"/>
        <w:rPr>
          <w:rFonts w:cstheme="minorHAnsi"/>
          <w:b/>
          <w:smallCaps/>
          <w:sz w:val="32"/>
          <w:szCs w:val="32"/>
        </w:rPr>
      </w:pPr>
    </w:p>
    <w:p w14:paraId="3ECE1F5D" w14:textId="77777777" w:rsidR="00DA72DA" w:rsidRPr="00A220D9" w:rsidRDefault="00DA72DA" w:rsidP="00CE777F">
      <w:pPr>
        <w:spacing w:after="0"/>
        <w:rPr>
          <w:sz w:val="32"/>
          <w:szCs w:val="32"/>
        </w:rPr>
      </w:pPr>
    </w:p>
    <w:sectPr w:rsidR="00DA72DA" w:rsidRPr="00A220D9" w:rsidSect="00AE68A4">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161A4" w14:textId="77777777" w:rsidR="00657045" w:rsidRDefault="00657045" w:rsidP="00AE68A4">
      <w:pPr>
        <w:spacing w:after="0" w:line="240" w:lineRule="auto"/>
      </w:pPr>
      <w:r>
        <w:separator/>
      </w:r>
    </w:p>
  </w:endnote>
  <w:endnote w:type="continuationSeparator" w:id="0">
    <w:p w14:paraId="14E3CC23" w14:textId="77777777" w:rsidR="00657045" w:rsidRDefault="00657045" w:rsidP="00AE6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5319B" w14:textId="77777777" w:rsidR="00657045" w:rsidRDefault="00657045" w:rsidP="00AE68A4">
      <w:pPr>
        <w:spacing w:after="0" w:line="240" w:lineRule="auto"/>
      </w:pPr>
      <w:r>
        <w:separator/>
      </w:r>
    </w:p>
  </w:footnote>
  <w:footnote w:type="continuationSeparator" w:id="0">
    <w:p w14:paraId="43D88D43" w14:textId="77777777" w:rsidR="00657045" w:rsidRDefault="00657045" w:rsidP="00AE68A4">
      <w:pPr>
        <w:spacing w:after="0" w:line="240" w:lineRule="auto"/>
      </w:pPr>
      <w:r>
        <w:continuationSeparator/>
      </w:r>
    </w:p>
  </w:footnote>
  <w:footnote w:id="1">
    <w:p w14:paraId="52A1237E" w14:textId="77777777" w:rsidR="00AE68A4" w:rsidRPr="00CE777F" w:rsidRDefault="00AE68A4" w:rsidP="00AE68A4">
      <w:pPr>
        <w:pStyle w:val="Testonotaapidipagina"/>
        <w:jc w:val="both"/>
        <w:rPr>
          <w:sz w:val="28"/>
          <w:szCs w:val="28"/>
        </w:rPr>
      </w:pPr>
      <w:r w:rsidRPr="00CE777F">
        <w:rPr>
          <w:rStyle w:val="Rimandonotaapidipagina"/>
          <w:sz w:val="28"/>
          <w:szCs w:val="28"/>
        </w:rPr>
        <w:footnoteRef/>
      </w:r>
      <w:r w:rsidRPr="00CE777F">
        <w:rPr>
          <w:sz w:val="28"/>
          <w:szCs w:val="28"/>
        </w:rPr>
        <w:t xml:space="preserve"> Cf. G. B</w:t>
      </w:r>
      <w:r w:rsidRPr="00CE777F">
        <w:rPr>
          <w:smallCaps/>
          <w:sz w:val="28"/>
          <w:szCs w:val="28"/>
        </w:rPr>
        <w:t xml:space="preserve">arbiero, </w:t>
      </w:r>
      <w:r w:rsidRPr="00CE777F">
        <w:rPr>
          <w:i/>
          <w:sz w:val="28"/>
          <w:szCs w:val="28"/>
        </w:rPr>
        <w:t>L'asino del nemico. Rinuncia alla vendetta e amore del nemico nella legislazione dell'Antico Testamento</w:t>
      </w:r>
      <w:r w:rsidRPr="00CE777F">
        <w:rPr>
          <w:sz w:val="28"/>
          <w:szCs w:val="28"/>
        </w:rPr>
        <w:t>, Pontificio Istituto Biblico, Roma 1991.</w:t>
      </w:r>
    </w:p>
  </w:footnote>
  <w:footnote w:id="2">
    <w:p w14:paraId="0ADB6D39" w14:textId="77777777" w:rsidR="00AE68A4" w:rsidRPr="00CE777F" w:rsidRDefault="00AE68A4" w:rsidP="00AE68A4">
      <w:pPr>
        <w:pStyle w:val="Testonotaapidipagina"/>
        <w:jc w:val="both"/>
        <w:rPr>
          <w:sz w:val="28"/>
          <w:szCs w:val="28"/>
        </w:rPr>
      </w:pPr>
      <w:r w:rsidRPr="00CE777F">
        <w:rPr>
          <w:rStyle w:val="Rimandonotaapidipagina"/>
          <w:sz w:val="28"/>
          <w:szCs w:val="28"/>
        </w:rPr>
        <w:footnoteRef/>
      </w:r>
      <w:r w:rsidRPr="00CE777F">
        <w:rPr>
          <w:sz w:val="28"/>
          <w:szCs w:val="28"/>
        </w:rPr>
        <w:t xml:space="preserve"> </w:t>
      </w:r>
      <w:r w:rsidRPr="00CE777F">
        <w:rPr>
          <w:rFonts w:cstheme="minorHAnsi"/>
          <w:smallCaps/>
          <w:sz w:val="28"/>
          <w:szCs w:val="28"/>
        </w:rPr>
        <w:t>A. M. Rabello</w:t>
      </w:r>
      <w:r w:rsidRPr="00CE777F">
        <w:rPr>
          <w:sz w:val="28"/>
          <w:szCs w:val="28"/>
        </w:rPr>
        <w:t xml:space="preserve">, </w:t>
      </w:r>
      <w:r w:rsidRPr="00CE777F">
        <w:rPr>
          <w:i/>
          <w:sz w:val="28"/>
          <w:szCs w:val="28"/>
        </w:rPr>
        <w:t>Introduzione al diritto ebraico. Fonti, matrimonio e divorzio, bioetica</w:t>
      </w:r>
      <w:r w:rsidRPr="00CE777F">
        <w:rPr>
          <w:sz w:val="28"/>
          <w:szCs w:val="28"/>
        </w:rPr>
        <w:t>, G. Giappichelli Editore, Torino 2002, p. 15</w:t>
      </w:r>
    </w:p>
  </w:footnote>
  <w:footnote w:id="3">
    <w:p w14:paraId="1EF9CC05" w14:textId="77777777" w:rsidR="00AE68A4" w:rsidRPr="00CE777F" w:rsidRDefault="00AE68A4" w:rsidP="00AE68A4">
      <w:pPr>
        <w:pStyle w:val="Testonotaapidipagina"/>
        <w:jc w:val="both"/>
        <w:rPr>
          <w:sz w:val="28"/>
          <w:szCs w:val="28"/>
        </w:rPr>
      </w:pPr>
      <w:r w:rsidRPr="00CE777F">
        <w:rPr>
          <w:rStyle w:val="Rimandonotaapidipagina"/>
          <w:sz w:val="28"/>
          <w:szCs w:val="28"/>
        </w:rPr>
        <w:footnoteRef/>
      </w:r>
      <w:r w:rsidRPr="00CE777F">
        <w:rPr>
          <w:sz w:val="28"/>
          <w:szCs w:val="28"/>
        </w:rPr>
        <w:t xml:space="preserve"> I</w:t>
      </w:r>
      <w:r w:rsidRPr="00CE777F">
        <w:rPr>
          <w:smallCaps/>
          <w:sz w:val="28"/>
          <w:szCs w:val="28"/>
        </w:rPr>
        <w:t>d</w:t>
      </w:r>
      <w:r w:rsidRPr="00CE777F">
        <w:rPr>
          <w:sz w:val="28"/>
          <w:szCs w:val="28"/>
        </w:rPr>
        <w:t>., p. 16</w:t>
      </w:r>
    </w:p>
  </w:footnote>
  <w:footnote w:id="4">
    <w:p w14:paraId="7014AB03" w14:textId="77777777" w:rsidR="00AE68A4" w:rsidRPr="00CE777F" w:rsidRDefault="00AE68A4" w:rsidP="00AE68A4">
      <w:pPr>
        <w:pStyle w:val="Testonotaapidipagina"/>
        <w:jc w:val="both"/>
        <w:rPr>
          <w:sz w:val="28"/>
          <w:szCs w:val="28"/>
        </w:rPr>
      </w:pPr>
      <w:r w:rsidRPr="00CE777F">
        <w:rPr>
          <w:rStyle w:val="Rimandonotaapidipagina"/>
          <w:sz w:val="28"/>
          <w:szCs w:val="28"/>
        </w:rPr>
        <w:footnoteRef/>
      </w:r>
      <w:r w:rsidRPr="00CE777F">
        <w:rPr>
          <w:sz w:val="28"/>
          <w:szCs w:val="28"/>
        </w:rPr>
        <w:t xml:space="preserve"> Trad riportata in ID</w:t>
      </w:r>
      <w:r w:rsidRPr="00CE777F">
        <w:rPr>
          <w:smallCaps/>
          <w:sz w:val="28"/>
          <w:szCs w:val="28"/>
        </w:rPr>
        <w:t>, 16</w:t>
      </w:r>
    </w:p>
  </w:footnote>
  <w:footnote w:id="5">
    <w:p w14:paraId="63F19211" w14:textId="77777777" w:rsidR="00AE68A4" w:rsidRPr="00CE777F" w:rsidRDefault="00AE68A4" w:rsidP="00AE68A4">
      <w:pPr>
        <w:pStyle w:val="Testonotaapidipagina"/>
        <w:rPr>
          <w:sz w:val="28"/>
          <w:szCs w:val="28"/>
        </w:rPr>
      </w:pPr>
      <w:r w:rsidRPr="00CE777F">
        <w:rPr>
          <w:rStyle w:val="Rimandonotaapidipagina"/>
          <w:sz w:val="28"/>
          <w:szCs w:val="28"/>
        </w:rPr>
        <w:footnoteRef/>
      </w:r>
      <w:r w:rsidRPr="00CE777F">
        <w:rPr>
          <w:sz w:val="28"/>
          <w:szCs w:val="28"/>
        </w:rPr>
        <w:t xml:space="preserve">  Cit. in I</w:t>
      </w:r>
      <w:r w:rsidRPr="00CE777F">
        <w:rPr>
          <w:smallCaps/>
          <w:sz w:val="28"/>
          <w:szCs w:val="28"/>
        </w:rPr>
        <w:t>D, 17</w:t>
      </w:r>
      <w:r w:rsidRPr="00CE777F">
        <w:rPr>
          <w:sz w:val="28"/>
          <w:szCs w:val="28"/>
        </w:rPr>
        <w:t>.</w:t>
      </w:r>
    </w:p>
  </w:footnote>
  <w:footnote w:id="6">
    <w:p w14:paraId="457D794E" w14:textId="77777777" w:rsidR="00AE68A4" w:rsidRPr="00CE777F" w:rsidRDefault="00AE68A4" w:rsidP="00AE68A4">
      <w:pPr>
        <w:pStyle w:val="Testonotaapidipagina"/>
        <w:rPr>
          <w:sz w:val="28"/>
          <w:szCs w:val="28"/>
        </w:rPr>
      </w:pPr>
      <w:r w:rsidRPr="00CE777F">
        <w:rPr>
          <w:rStyle w:val="Rimandonotaapidipagina"/>
          <w:sz w:val="28"/>
          <w:szCs w:val="28"/>
        </w:rPr>
        <w:footnoteRef/>
      </w:r>
      <w:r w:rsidRPr="00CE777F">
        <w:rPr>
          <w:sz w:val="28"/>
          <w:szCs w:val="28"/>
        </w:rPr>
        <w:t xml:space="preserve"> In tal modo è intesa, per es., oltre che dalla seicentesca </w:t>
      </w:r>
      <w:r w:rsidRPr="00CE777F">
        <w:rPr>
          <w:i/>
          <w:sz w:val="28"/>
          <w:szCs w:val="28"/>
        </w:rPr>
        <w:t xml:space="preserve">King James </w:t>
      </w:r>
      <w:r w:rsidRPr="00CE777F">
        <w:rPr>
          <w:sz w:val="28"/>
          <w:szCs w:val="28"/>
        </w:rPr>
        <w:t>(«If thou see</w:t>
      </w:r>
      <w:r w:rsidRPr="00CE777F">
        <w:rPr>
          <w:i/>
          <w:sz w:val="28"/>
          <w:szCs w:val="28"/>
        </w:rPr>
        <w:t xml:space="preserve"> </w:t>
      </w:r>
      <w:r w:rsidRPr="00CE777F">
        <w:rPr>
          <w:sz w:val="28"/>
          <w:szCs w:val="28"/>
        </w:rPr>
        <w:t>the ass of him that</w:t>
      </w:r>
      <w:r w:rsidRPr="00CE777F">
        <w:rPr>
          <w:i/>
          <w:sz w:val="28"/>
          <w:szCs w:val="28"/>
        </w:rPr>
        <w:t xml:space="preserve"> </w:t>
      </w:r>
      <w:r w:rsidRPr="00CE777F">
        <w:rPr>
          <w:sz w:val="28"/>
          <w:szCs w:val="28"/>
        </w:rPr>
        <w:t xml:space="preserve">hateth thee lying under his burden, and wouldest forbear to help him, thou shalt surely help with him») </w:t>
      </w:r>
      <w:bookmarkStart w:id="0" w:name="_Hlk193179407"/>
      <w:r w:rsidRPr="00CE777F">
        <w:rPr>
          <w:sz w:val="28"/>
          <w:szCs w:val="28"/>
        </w:rPr>
        <w:t>anche dalla Bibbia</w:t>
      </w:r>
      <w:r w:rsidRPr="00CE777F">
        <w:rPr>
          <w:i/>
          <w:sz w:val="28"/>
          <w:szCs w:val="28"/>
        </w:rPr>
        <w:t xml:space="preserve"> </w:t>
      </w:r>
      <w:r w:rsidRPr="00CE777F">
        <w:rPr>
          <w:sz w:val="28"/>
          <w:szCs w:val="28"/>
        </w:rPr>
        <w:t>edita da Einaudi, Torino 2021: «Qualora dovessi vedere l'asino del tuo avversario accasciarsi sotto il suo carico e volessi astenerti dal soccorrerlo, ti metterai al contrario a soccorrerlo con lui» (trad. it.  F. Giuntoli).</w:t>
      </w:r>
    </w:p>
    <w:bookmarkEnd w:id="0"/>
  </w:footnote>
  <w:footnote w:id="7">
    <w:p w14:paraId="49BF1F8D" w14:textId="77777777" w:rsidR="00B01358" w:rsidRPr="00CE777F" w:rsidRDefault="00B01358" w:rsidP="00B01358">
      <w:pPr>
        <w:pStyle w:val="Testonotaapidipagina"/>
        <w:rPr>
          <w:smallCaps/>
          <w:sz w:val="28"/>
          <w:szCs w:val="28"/>
        </w:rPr>
      </w:pPr>
      <w:r w:rsidRPr="00CE777F">
        <w:rPr>
          <w:rStyle w:val="Rimandonotaapidipagina"/>
          <w:sz w:val="28"/>
          <w:szCs w:val="28"/>
        </w:rPr>
        <w:footnoteRef/>
      </w:r>
      <w:r w:rsidRPr="00CE777F">
        <w:rPr>
          <w:sz w:val="28"/>
          <w:szCs w:val="28"/>
        </w:rPr>
        <w:t xml:space="preserve"> A.M. Rabello, Diritto</w:t>
      </w:r>
      <w:r w:rsidRPr="00CE777F">
        <w:rPr>
          <w:i/>
          <w:sz w:val="28"/>
          <w:szCs w:val="28"/>
        </w:rPr>
        <w:t xml:space="preserve"> individuale, diritto comunitario e costituzionale nello Stato </w:t>
      </w:r>
      <w:r w:rsidRPr="00CE777F">
        <w:rPr>
          <w:sz w:val="28"/>
          <w:szCs w:val="28"/>
        </w:rPr>
        <w:t xml:space="preserve">d'Israele, in </w:t>
      </w:r>
      <w:r w:rsidRPr="00CE777F">
        <w:rPr>
          <w:i/>
          <w:sz w:val="28"/>
          <w:szCs w:val="28"/>
        </w:rPr>
        <w:t>Le religioni e il mondo moderno</w:t>
      </w:r>
      <w:r w:rsidRPr="00CE777F">
        <w:rPr>
          <w:sz w:val="28"/>
          <w:szCs w:val="28"/>
        </w:rPr>
        <w:t xml:space="preserve">. </w:t>
      </w:r>
      <w:r w:rsidRPr="00CE777F">
        <w:rPr>
          <w:i/>
          <w:sz w:val="28"/>
          <w:szCs w:val="28"/>
        </w:rPr>
        <w:t>Ebraismo</w:t>
      </w:r>
      <w:r w:rsidRPr="00CE777F">
        <w:rPr>
          <w:sz w:val="28"/>
          <w:szCs w:val="28"/>
        </w:rPr>
        <w:t xml:space="preserve">, a cura di G. Filoramo, D. Bidussa. Einaudi, Torino 2008, p. 301. </w:t>
      </w:r>
    </w:p>
  </w:footnote>
  <w:footnote w:id="8">
    <w:p w14:paraId="4AF66C70" w14:textId="77777777" w:rsidR="00DA72DA" w:rsidRPr="00CE777F" w:rsidRDefault="00DA72DA" w:rsidP="00DA72DA">
      <w:pPr>
        <w:pStyle w:val="Testonotaapidipagina"/>
        <w:rPr>
          <w:i/>
          <w:smallCaps/>
          <w:sz w:val="28"/>
          <w:szCs w:val="28"/>
        </w:rPr>
      </w:pPr>
      <w:r w:rsidRPr="00CE777F">
        <w:rPr>
          <w:rStyle w:val="Rimandonotaapidipagina"/>
          <w:sz w:val="28"/>
          <w:szCs w:val="28"/>
        </w:rPr>
        <w:footnoteRef/>
      </w:r>
      <w:r w:rsidRPr="00CE777F">
        <w:rPr>
          <w:sz w:val="28"/>
          <w:szCs w:val="28"/>
        </w:rPr>
        <w:t xml:space="preserve"> Mosè Maimonide, </w:t>
      </w:r>
      <w:r w:rsidRPr="00CE777F">
        <w:rPr>
          <w:i/>
          <w:sz w:val="28"/>
          <w:szCs w:val="28"/>
        </w:rPr>
        <w:t>Lettera di Obadiah</w:t>
      </w:r>
      <w:r w:rsidRPr="00CE777F">
        <w:rPr>
          <w:sz w:val="28"/>
          <w:szCs w:val="28"/>
        </w:rPr>
        <w:t xml:space="preserve">, </w:t>
      </w:r>
      <w:r w:rsidRPr="00CE777F">
        <w:rPr>
          <w:i/>
          <w:sz w:val="28"/>
          <w:szCs w:val="28"/>
        </w:rPr>
        <w:t xml:space="preserve">Responsum </w:t>
      </w:r>
      <w:r w:rsidRPr="00CE777F">
        <w:rPr>
          <w:sz w:val="28"/>
          <w:szCs w:val="28"/>
        </w:rPr>
        <w:t xml:space="preserve">293, cit. in S. Pasquetti, </w:t>
      </w:r>
      <w:r w:rsidRPr="00CE777F">
        <w:rPr>
          <w:i/>
          <w:sz w:val="28"/>
          <w:szCs w:val="28"/>
        </w:rPr>
        <w:t>L’istituto della conversione nell’ebraismo</w:t>
      </w:r>
      <w:r w:rsidRPr="00CE777F">
        <w:rPr>
          <w:sz w:val="28"/>
          <w:szCs w:val="28"/>
        </w:rPr>
        <w:t xml:space="preserve">, in </w:t>
      </w:r>
      <w:r w:rsidRPr="00CE777F">
        <w:rPr>
          <w:i/>
          <w:sz w:val="28"/>
          <w:szCs w:val="28"/>
        </w:rPr>
        <w:t xml:space="preserve">Quaderni del Centro di Alti Studi in Scienze Religiose </w:t>
      </w:r>
      <w:r w:rsidRPr="00CE777F">
        <w:rPr>
          <w:sz w:val="28"/>
          <w:szCs w:val="28"/>
        </w:rPr>
        <w:t>I-2002.</w:t>
      </w:r>
    </w:p>
  </w:footnote>
  <w:footnote w:id="9">
    <w:p w14:paraId="4FD195FC" w14:textId="77777777" w:rsidR="00462E91" w:rsidRPr="00CE777F" w:rsidRDefault="00462E91" w:rsidP="00462E91">
      <w:pPr>
        <w:pStyle w:val="Testonotaapidipagina"/>
        <w:rPr>
          <w:smallCaps/>
          <w:sz w:val="28"/>
          <w:szCs w:val="28"/>
        </w:rPr>
      </w:pPr>
      <w:r w:rsidRPr="00CE777F">
        <w:rPr>
          <w:rStyle w:val="Rimandonotaapidipagina"/>
          <w:sz w:val="28"/>
          <w:szCs w:val="28"/>
        </w:rPr>
        <w:footnoteRef/>
      </w:r>
      <w:r w:rsidRPr="00CE777F">
        <w:rPr>
          <w:sz w:val="28"/>
          <w:szCs w:val="28"/>
        </w:rPr>
        <w:t xml:space="preserve"> Filone di Alessandria, </w:t>
      </w:r>
      <w:r w:rsidRPr="00CE777F">
        <w:rPr>
          <w:i/>
          <w:sz w:val="28"/>
          <w:szCs w:val="28"/>
        </w:rPr>
        <w:t>De Specialibus Legibus</w:t>
      </w:r>
      <w:r w:rsidRPr="00CE777F">
        <w:rPr>
          <w:sz w:val="28"/>
          <w:szCs w:val="28"/>
        </w:rPr>
        <w:t>, I,51-52.</w:t>
      </w:r>
    </w:p>
  </w:footnote>
  <w:footnote w:id="10">
    <w:p w14:paraId="3B217072" w14:textId="77777777" w:rsidR="00DA72DA" w:rsidRPr="00CE777F" w:rsidRDefault="00DA72DA" w:rsidP="00DA72DA">
      <w:pPr>
        <w:pStyle w:val="Testonotaapidipagina"/>
        <w:rPr>
          <w:smallCaps/>
          <w:sz w:val="28"/>
          <w:szCs w:val="28"/>
        </w:rPr>
      </w:pPr>
      <w:r w:rsidRPr="00CE777F">
        <w:rPr>
          <w:rStyle w:val="Rimandonotaapidipagina"/>
          <w:sz w:val="28"/>
          <w:szCs w:val="28"/>
        </w:rPr>
        <w:footnoteRef/>
      </w:r>
      <w:r w:rsidRPr="00CE777F">
        <w:rPr>
          <w:sz w:val="28"/>
          <w:szCs w:val="28"/>
        </w:rPr>
        <w:t xml:space="preserve"> </w:t>
      </w:r>
      <w:r w:rsidRPr="00CE777F">
        <w:rPr>
          <w:i/>
          <w:sz w:val="28"/>
          <w:szCs w:val="28"/>
        </w:rPr>
        <w:t>Talmud Babilonese, Qiddushin</w:t>
      </w:r>
      <w:r w:rsidRPr="00CE777F">
        <w:rPr>
          <w:sz w:val="28"/>
          <w:szCs w:val="28"/>
        </w:rPr>
        <w:t xml:space="preserve"> 17b.</w:t>
      </w:r>
    </w:p>
  </w:footnote>
  <w:footnote w:id="11">
    <w:p w14:paraId="10A111F9" w14:textId="77777777" w:rsidR="00DA72DA" w:rsidRPr="00CE777F" w:rsidRDefault="00DA72DA" w:rsidP="00DA72DA">
      <w:pPr>
        <w:pStyle w:val="Testonotaapidipagina"/>
        <w:rPr>
          <w:smallCaps/>
          <w:sz w:val="28"/>
          <w:szCs w:val="28"/>
        </w:rPr>
      </w:pPr>
      <w:r w:rsidRPr="00CE777F">
        <w:rPr>
          <w:rStyle w:val="Rimandonotaapidipagina"/>
          <w:sz w:val="28"/>
          <w:szCs w:val="28"/>
        </w:rPr>
        <w:footnoteRef/>
      </w:r>
      <w:r w:rsidRPr="00CE777F">
        <w:rPr>
          <w:sz w:val="28"/>
          <w:szCs w:val="28"/>
        </w:rPr>
        <w:t xml:space="preserve"> </w:t>
      </w:r>
      <w:r w:rsidRPr="00CE777F">
        <w:rPr>
          <w:i/>
          <w:sz w:val="28"/>
          <w:szCs w:val="28"/>
        </w:rPr>
        <w:t xml:space="preserve">Yevamot </w:t>
      </w:r>
      <w:r w:rsidRPr="00CE777F">
        <w:rPr>
          <w:sz w:val="28"/>
          <w:szCs w:val="28"/>
        </w:rPr>
        <w:t>47a-b.</w:t>
      </w:r>
    </w:p>
  </w:footnote>
  <w:footnote w:id="12">
    <w:p w14:paraId="0E3B3CB3" w14:textId="77777777" w:rsidR="00DA72DA" w:rsidRPr="00CE777F" w:rsidRDefault="00DA72DA" w:rsidP="00DA72DA">
      <w:pPr>
        <w:pStyle w:val="Testonotaapidipagina"/>
        <w:rPr>
          <w:smallCaps/>
          <w:sz w:val="28"/>
          <w:szCs w:val="28"/>
        </w:rPr>
      </w:pPr>
      <w:r w:rsidRPr="00CE777F">
        <w:rPr>
          <w:rStyle w:val="Rimandonotaapidipagina"/>
          <w:sz w:val="28"/>
          <w:szCs w:val="28"/>
        </w:rPr>
        <w:footnoteRef/>
      </w:r>
      <w:r w:rsidRPr="00CE777F">
        <w:rPr>
          <w:sz w:val="28"/>
          <w:szCs w:val="28"/>
        </w:rPr>
        <w:t xml:space="preserve">  Si pensi al caso di San Nicandro Garganico. A iniziare dalla fine degli anni Venti del Novecento attorno a Donato Manduzio prese avvio un movimento di conversione collettiva all'ebraismo. Nel 1949 la maggior parte della comunità si è trasferita nello Stato d'Israele. Fenomeni di conversione collettiva sono attestati anche altrove per es. in Cina nel XIX secolo, in Sud Africa e ad Harlem nel XX; cfr. Trevisan Semi E., Parfitt T., </w:t>
      </w:r>
      <w:r w:rsidRPr="00CE777F">
        <w:rPr>
          <w:i/>
          <w:sz w:val="28"/>
          <w:szCs w:val="28"/>
        </w:rPr>
        <w:t>Ebrei per scelta. Movimenti di conversione all'ebraismo</w:t>
      </w:r>
      <w:r w:rsidRPr="00CE777F">
        <w:rPr>
          <w:sz w:val="28"/>
          <w:szCs w:val="28"/>
        </w:rPr>
        <w:t>, Raffaello Cortina, Milano 2004.</w:t>
      </w:r>
    </w:p>
  </w:footnote>
  <w:footnote w:id="13">
    <w:p w14:paraId="11945E32" w14:textId="77777777" w:rsidR="00DA72DA" w:rsidRPr="00CE777F" w:rsidRDefault="00DA72DA" w:rsidP="00DA72DA">
      <w:pPr>
        <w:pStyle w:val="Testonotaapidipagina"/>
        <w:rPr>
          <w:smallCaps/>
          <w:sz w:val="28"/>
          <w:szCs w:val="28"/>
        </w:rPr>
      </w:pPr>
      <w:r w:rsidRPr="00CE777F">
        <w:rPr>
          <w:rStyle w:val="Rimandonotaapidipagina"/>
          <w:sz w:val="28"/>
          <w:szCs w:val="28"/>
        </w:rPr>
        <w:footnoteRef/>
      </w:r>
      <w:r w:rsidRPr="00CE777F">
        <w:rPr>
          <w:sz w:val="28"/>
          <w:szCs w:val="28"/>
        </w:rPr>
        <w:t xml:space="preserve"> Giuseppe Flavio, </w:t>
      </w:r>
      <w:r w:rsidRPr="00CE777F">
        <w:rPr>
          <w:i/>
          <w:sz w:val="28"/>
          <w:szCs w:val="28"/>
        </w:rPr>
        <w:t>Antichità giudaiche XI</w:t>
      </w:r>
      <w:r w:rsidRPr="00CE777F">
        <w:rPr>
          <w:sz w:val="28"/>
          <w:szCs w:val="28"/>
        </w:rPr>
        <w:t>,212, cfr. XIII 245 e 247.</w:t>
      </w:r>
    </w:p>
  </w:footnote>
  <w:footnote w:id="14">
    <w:p w14:paraId="6A5A181A" w14:textId="77777777" w:rsidR="00DA72DA" w:rsidRPr="00CE777F" w:rsidRDefault="00DA72DA" w:rsidP="00DA72DA">
      <w:pPr>
        <w:pStyle w:val="Testonotaapidipagina"/>
        <w:rPr>
          <w:smallCaps/>
          <w:sz w:val="28"/>
          <w:szCs w:val="28"/>
        </w:rPr>
      </w:pPr>
      <w:r w:rsidRPr="00CE777F">
        <w:rPr>
          <w:rStyle w:val="Rimandonotaapidipagina"/>
          <w:sz w:val="28"/>
          <w:szCs w:val="28"/>
        </w:rPr>
        <w:footnoteRef/>
      </w:r>
      <w:r w:rsidRPr="00CE777F">
        <w:rPr>
          <w:sz w:val="28"/>
          <w:szCs w:val="28"/>
        </w:rPr>
        <w:t xml:space="preserve"> Cfr. S. C. Mimouni, </w:t>
      </w:r>
      <w:r w:rsidRPr="00CE777F">
        <w:rPr>
          <w:i/>
          <w:sz w:val="28"/>
          <w:szCs w:val="28"/>
        </w:rPr>
        <w:t xml:space="preserve">Il giudaismo all'epoca della nascita del </w:t>
      </w:r>
      <w:r w:rsidRPr="00CE777F">
        <w:rPr>
          <w:sz w:val="28"/>
          <w:szCs w:val="28"/>
        </w:rPr>
        <w:t xml:space="preserve">cristianesimo, in I Libri di Biblia, </w:t>
      </w:r>
      <w:r w:rsidRPr="00CE777F">
        <w:rPr>
          <w:i/>
          <w:sz w:val="28"/>
          <w:szCs w:val="28"/>
        </w:rPr>
        <w:t>Quando i cristiani erano ebrei</w:t>
      </w:r>
      <w:r w:rsidRPr="00CE777F">
        <w:rPr>
          <w:sz w:val="28"/>
          <w:szCs w:val="28"/>
        </w:rPr>
        <w:t>, a cura di P. Stefani, Morcelliana, Brescia 2011, pp. 29-30.</w:t>
      </w:r>
    </w:p>
  </w:footnote>
  <w:footnote w:id="15">
    <w:p w14:paraId="1D5B7FC1" w14:textId="77777777" w:rsidR="00DA72DA" w:rsidRPr="00CE777F" w:rsidRDefault="00DA72DA" w:rsidP="00DA72DA">
      <w:pPr>
        <w:spacing w:line="240" w:lineRule="auto"/>
        <w:rPr>
          <w:sz w:val="28"/>
          <w:szCs w:val="28"/>
        </w:rPr>
      </w:pPr>
      <w:r w:rsidRPr="00CE777F">
        <w:rPr>
          <w:rStyle w:val="Rimandonotaapidipagina"/>
          <w:sz w:val="28"/>
          <w:szCs w:val="28"/>
        </w:rPr>
        <w:footnoteRef/>
      </w:r>
      <w:r w:rsidRPr="00CE777F">
        <w:rPr>
          <w:sz w:val="28"/>
          <w:szCs w:val="28"/>
        </w:rPr>
        <w:t xml:space="preserve"> Su tutti questi temi si veda l'ottimo contributo, S. J. D. Cohen, </w:t>
      </w:r>
      <w:r w:rsidRPr="00CE777F">
        <w:rPr>
          <w:i/>
          <w:sz w:val="28"/>
          <w:szCs w:val="28"/>
        </w:rPr>
        <w:t xml:space="preserve">Origins of the Matrilinear </w:t>
      </w:r>
      <w:r w:rsidRPr="00CE777F">
        <w:rPr>
          <w:sz w:val="28"/>
          <w:szCs w:val="28"/>
        </w:rPr>
        <w:t xml:space="preserve"> </w:t>
      </w:r>
      <w:r w:rsidRPr="00CE777F">
        <w:rPr>
          <w:i/>
          <w:sz w:val="28"/>
          <w:szCs w:val="28"/>
        </w:rPr>
        <w:t>Principle</w:t>
      </w:r>
      <w:r w:rsidRPr="00CE777F">
        <w:rPr>
          <w:sz w:val="28"/>
          <w:szCs w:val="28"/>
        </w:rPr>
        <w:t xml:space="preserve"> </w:t>
      </w:r>
      <w:r w:rsidRPr="00CE777F">
        <w:rPr>
          <w:i/>
          <w:sz w:val="28"/>
          <w:szCs w:val="28"/>
        </w:rPr>
        <w:t>in Rabbinic Law</w:t>
      </w:r>
      <w:r w:rsidRPr="00CE777F">
        <w:rPr>
          <w:sz w:val="28"/>
          <w:szCs w:val="28"/>
        </w:rPr>
        <w:t>, «AJS Review» Vol. 10. n. 1, Spring 1985, pp. 19-53.</w:t>
      </w:r>
    </w:p>
  </w:footnote>
  <w:footnote w:id="16">
    <w:p w14:paraId="5A40CE94" w14:textId="2466D9C0" w:rsidR="00DA72DA" w:rsidRPr="00CE777F" w:rsidRDefault="00DA72DA" w:rsidP="00DA72DA">
      <w:pPr>
        <w:pStyle w:val="Testonotaapidipagina"/>
        <w:rPr>
          <w:smallCaps/>
          <w:sz w:val="28"/>
          <w:szCs w:val="28"/>
        </w:rPr>
      </w:pPr>
      <w:r w:rsidRPr="00CE777F">
        <w:rPr>
          <w:rStyle w:val="Rimandonotaapidipagina"/>
          <w:sz w:val="28"/>
          <w:szCs w:val="28"/>
        </w:rPr>
        <w:footnoteRef/>
      </w:r>
      <w:r w:rsidRPr="00CE777F">
        <w:rPr>
          <w:sz w:val="28"/>
          <w:szCs w:val="28"/>
        </w:rPr>
        <w:t xml:space="preserve"> Cfr. B. R. Eliezer,</w:t>
      </w:r>
      <w:r w:rsidRPr="00CE777F">
        <w:rPr>
          <w:i/>
          <w:sz w:val="28"/>
          <w:szCs w:val="28"/>
        </w:rPr>
        <w:t xml:space="preserve"> Chi è ebreo) Cinquanta «saggi» rispondono</w:t>
      </w:r>
      <w:r w:rsidRPr="00CE777F">
        <w:rPr>
          <w:sz w:val="28"/>
          <w:szCs w:val="28"/>
        </w:rPr>
        <w:t xml:space="preserve">, a cura di S. </w:t>
      </w:r>
      <w:r w:rsidR="00026469" w:rsidRPr="00CE777F">
        <w:rPr>
          <w:sz w:val="28"/>
          <w:szCs w:val="28"/>
        </w:rPr>
        <w:t>Meghnagi e</w:t>
      </w:r>
      <w:r w:rsidRPr="00CE777F">
        <w:rPr>
          <w:sz w:val="28"/>
          <w:szCs w:val="28"/>
        </w:rPr>
        <w:t xml:space="preserve"> T. Zevi, Bonanno, Acireale (CT), 2014. </w:t>
      </w:r>
    </w:p>
  </w:footnote>
  <w:footnote w:id="17">
    <w:p w14:paraId="0341D7D7" w14:textId="77777777" w:rsidR="00DA72DA" w:rsidRPr="00CE777F" w:rsidRDefault="00DA72DA" w:rsidP="00DA72DA">
      <w:pPr>
        <w:pStyle w:val="Testonotaapidipagina"/>
        <w:rPr>
          <w:smallCaps/>
          <w:sz w:val="28"/>
          <w:szCs w:val="28"/>
        </w:rPr>
      </w:pPr>
      <w:r w:rsidRPr="00CE777F">
        <w:rPr>
          <w:rStyle w:val="Rimandonotaapidipagina"/>
          <w:sz w:val="28"/>
          <w:szCs w:val="28"/>
        </w:rPr>
        <w:footnoteRef/>
      </w:r>
      <w:r w:rsidRPr="00CE777F">
        <w:rPr>
          <w:sz w:val="28"/>
          <w:szCs w:val="28"/>
          <w:lang w:val="fr-FR"/>
        </w:rPr>
        <w:t xml:space="preserve"> Cfr. </w:t>
      </w:r>
      <w:r w:rsidRPr="00CE777F">
        <w:rPr>
          <w:sz w:val="28"/>
          <w:szCs w:val="28"/>
        </w:rPr>
        <w:t>Rabello, Diritto</w:t>
      </w:r>
      <w:r w:rsidRPr="00CE777F">
        <w:rPr>
          <w:i/>
          <w:sz w:val="28"/>
          <w:szCs w:val="28"/>
        </w:rPr>
        <w:t xml:space="preserve"> individuale, diritto comunitario</w:t>
      </w:r>
      <w:r w:rsidRPr="00CE777F">
        <w:rPr>
          <w:sz w:val="28"/>
          <w:szCs w:val="28"/>
        </w:rPr>
        <w:t>, pp. 312-319.</w:t>
      </w:r>
    </w:p>
  </w:footnote>
  <w:footnote w:id="18">
    <w:p w14:paraId="1001FEF1" w14:textId="17F273E9" w:rsidR="00DA72DA" w:rsidRPr="00CE777F" w:rsidRDefault="00DA72DA" w:rsidP="00DA72DA">
      <w:pPr>
        <w:pStyle w:val="Testonotaapidipagina"/>
        <w:rPr>
          <w:smallCaps/>
          <w:sz w:val="28"/>
          <w:szCs w:val="28"/>
        </w:rPr>
      </w:pPr>
      <w:r w:rsidRPr="00CE777F">
        <w:rPr>
          <w:rStyle w:val="Rimandonotaapidipagina"/>
          <w:sz w:val="28"/>
          <w:szCs w:val="28"/>
        </w:rPr>
        <w:footnoteRef/>
      </w:r>
      <w:r w:rsidRPr="00CE777F">
        <w:rPr>
          <w:sz w:val="28"/>
          <w:szCs w:val="28"/>
        </w:rPr>
        <w:t xml:space="preserve"> Il testo legislativo distingue perciò l’emigrazione ebraica dalle altre. Secondo la giurista Suzie Navot questa legge è «l’espressione concreta della definizione dello Stato ebraico e dà veste giuridica all’idea centrale del sionismo» Cfr. Suzie Navot «Libertà fondamentali» </w:t>
      </w:r>
      <w:r w:rsidR="00026469" w:rsidRPr="00CE777F">
        <w:rPr>
          <w:sz w:val="28"/>
          <w:szCs w:val="28"/>
        </w:rPr>
        <w:t>in Tania</w:t>
      </w:r>
      <w:r w:rsidRPr="00CE777F">
        <w:rPr>
          <w:sz w:val="28"/>
          <w:szCs w:val="28"/>
        </w:rPr>
        <w:t xml:space="preserve"> Groppi, Emanuele Ottolenghi, Alfredo Mordechai Rabello (a cura di) , </w:t>
      </w:r>
      <w:r w:rsidRPr="00CE777F">
        <w:rPr>
          <w:i/>
          <w:iCs/>
          <w:sz w:val="28"/>
          <w:szCs w:val="28"/>
        </w:rPr>
        <w:t>Il sistema costituzionale</w:t>
      </w:r>
      <w:r w:rsidRPr="00CE777F">
        <w:rPr>
          <w:sz w:val="28"/>
          <w:szCs w:val="28"/>
        </w:rPr>
        <w:t xml:space="preserve"> </w:t>
      </w:r>
      <w:r w:rsidRPr="00CE777F">
        <w:rPr>
          <w:i/>
          <w:iCs/>
          <w:sz w:val="28"/>
          <w:szCs w:val="28"/>
        </w:rPr>
        <w:t>dello Stato d’Israele</w:t>
      </w:r>
      <w:r w:rsidRPr="00CE777F">
        <w:rPr>
          <w:sz w:val="28"/>
          <w:szCs w:val="28"/>
        </w:rPr>
        <w:t>, Giappicchelli Editore, Torino 2006.</w:t>
      </w:r>
    </w:p>
    <w:p w14:paraId="379E20FF" w14:textId="77777777" w:rsidR="00DA72DA" w:rsidRPr="00CE777F" w:rsidRDefault="00DA72DA" w:rsidP="00DA72DA">
      <w:pPr>
        <w:rPr>
          <w:sz w:val="28"/>
          <w:szCs w:val="28"/>
          <w:vertAlign w:val="superscript"/>
        </w:rPr>
      </w:pPr>
    </w:p>
    <w:p w14:paraId="48649F04" w14:textId="77777777" w:rsidR="00DA72DA" w:rsidRPr="00CE777F" w:rsidRDefault="00DA72DA" w:rsidP="00DA72DA">
      <w:pPr>
        <w:pStyle w:val="Testonotaapidipagina"/>
        <w:rPr>
          <w:smallCaps/>
          <w:sz w:val="28"/>
          <w:szCs w:val="28"/>
        </w:rPr>
      </w:pPr>
    </w:p>
  </w:footnote>
  <w:footnote w:id="19">
    <w:p w14:paraId="57354820" w14:textId="77777777" w:rsidR="00DA72DA" w:rsidRPr="00CE777F" w:rsidRDefault="00DA72DA" w:rsidP="00DA72DA">
      <w:pPr>
        <w:pStyle w:val="Testonotaapidipagina"/>
        <w:rPr>
          <w:smallCaps/>
          <w:sz w:val="28"/>
          <w:szCs w:val="28"/>
        </w:rPr>
      </w:pPr>
      <w:r w:rsidRPr="00CE777F">
        <w:rPr>
          <w:rStyle w:val="Rimandonotaapidipagina"/>
          <w:sz w:val="28"/>
          <w:szCs w:val="28"/>
        </w:rPr>
        <w:footnoteRef/>
      </w:r>
      <w:r w:rsidRPr="00CE777F">
        <w:rPr>
          <w:sz w:val="28"/>
          <w:szCs w:val="28"/>
        </w:rPr>
        <w:t xml:space="preserve"> Cfr.  M. Giuliani (a cura di), </w:t>
      </w:r>
      <w:r w:rsidRPr="00CE777F">
        <w:rPr>
          <w:i/>
          <w:sz w:val="28"/>
          <w:szCs w:val="28"/>
        </w:rPr>
        <w:t>Il giudaismo «conservative»</w:t>
      </w:r>
      <w:r w:rsidRPr="00CE777F">
        <w:rPr>
          <w:sz w:val="28"/>
          <w:szCs w:val="28"/>
        </w:rPr>
        <w:t>, Morcelliana, Brescia 2010.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5F7"/>
    <w:multiLevelType w:val="hybridMultilevel"/>
    <w:tmpl w:val="D2AA4EC2"/>
    <w:lvl w:ilvl="0" w:tplc="E3E08734">
      <w:start w:val="1"/>
      <w:numFmt w:val="decimal"/>
      <w:lvlText w:val="%1."/>
      <w:lvlJc w:val="left"/>
      <w:pPr>
        <w:ind w:left="4330" w:hanging="360"/>
      </w:pPr>
    </w:lvl>
    <w:lvl w:ilvl="1" w:tplc="04100019">
      <w:start w:val="1"/>
      <w:numFmt w:val="lowerLetter"/>
      <w:lvlText w:val="%2."/>
      <w:lvlJc w:val="left"/>
      <w:pPr>
        <w:ind w:left="5050" w:hanging="360"/>
      </w:pPr>
    </w:lvl>
    <w:lvl w:ilvl="2" w:tplc="0410001B">
      <w:start w:val="1"/>
      <w:numFmt w:val="lowerRoman"/>
      <w:lvlText w:val="%3."/>
      <w:lvlJc w:val="right"/>
      <w:pPr>
        <w:ind w:left="5770" w:hanging="180"/>
      </w:pPr>
    </w:lvl>
    <w:lvl w:ilvl="3" w:tplc="0410000F">
      <w:start w:val="1"/>
      <w:numFmt w:val="decimal"/>
      <w:lvlText w:val="%4."/>
      <w:lvlJc w:val="left"/>
      <w:pPr>
        <w:ind w:left="6490" w:hanging="360"/>
      </w:pPr>
    </w:lvl>
    <w:lvl w:ilvl="4" w:tplc="04100019">
      <w:start w:val="1"/>
      <w:numFmt w:val="lowerLetter"/>
      <w:lvlText w:val="%5."/>
      <w:lvlJc w:val="left"/>
      <w:pPr>
        <w:ind w:left="7210" w:hanging="360"/>
      </w:pPr>
    </w:lvl>
    <w:lvl w:ilvl="5" w:tplc="0410001B">
      <w:start w:val="1"/>
      <w:numFmt w:val="lowerRoman"/>
      <w:lvlText w:val="%6."/>
      <w:lvlJc w:val="right"/>
      <w:pPr>
        <w:ind w:left="7930" w:hanging="180"/>
      </w:pPr>
    </w:lvl>
    <w:lvl w:ilvl="6" w:tplc="0410000F">
      <w:start w:val="1"/>
      <w:numFmt w:val="decimal"/>
      <w:lvlText w:val="%7."/>
      <w:lvlJc w:val="left"/>
      <w:pPr>
        <w:ind w:left="8650" w:hanging="360"/>
      </w:pPr>
    </w:lvl>
    <w:lvl w:ilvl="7" w:tplc="04100019">
      <w:start w:val="1"/>
      <w:numFmt w:val="lowerLetter"/>
      <w:lvlText w:val="%8."/>
      <w:lvlJc w:val="left"/>
      <w:pPr>
        <w:ind w:left="9370" w:hanging="360"/>
      </w:pPr>
    </w:lvl>
    <w:lvl w:ilvl="8" w:tplc="0410001B">
      <w:start w:val="1"/>
      <w:numFmt w:val="lowerRoman"/>
      <w:lvlText w:val="%9."/>
      <w:lvlJc w:val="right"/>
      <w:pPr>
        <w:ind w:left="10090" w:hanging="180"/>
      </w:pPr>
    </w:lvl>
  </w:abstractNum>
  <w:num w:numId="1" w16cid:durableId="1375421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C2D"/>
    <w:rsid w:val="00026469"/>
    <w:rsid w:val="00072F1F"/>
    <w:rsid w:val="000E58F3"/>
    <w:rsid w:val="00170A6C"/>
    <w:rsid w:val="001B2293"/>
    <w:rsid w:val="00264315"/>
    <w:rsid w:val="00333618"/>
    <w:rsid w:val="00443AAF"/>
    <w:rsid w:val="00462E91"/>
    <w:rsid w:val="00492C81"/>
    <w:rsid w:val="005F36CD"/>
    <w:rsid w:val="00657045"/>
    <w:rsid w:val="006A05A8"/>
    <w:rsid w:val="007230EF"/>
    <w:rsid w:val="00801535"/>
    <w:rsid w:val="008E2C2D"/>
    <w:rsid w:val="009A6894"/>
    <w:rsid w:val="009F0A79"/>
    <w:rsid w:val="00A220D9"/>
    <w:rsid w:val="00A503BE"/>
    <w:rsid w:val="00A51F39"/>
    <w:rsid w:val="00AE68A4"/>
    <w:rsid w:val="00B01358"/>
    <w:rsid w:val="00B314BE"/>
    <w:rsid w:val="00BC2678"/>
    <w:rsid w:val="00BD6ADE"/>
    <w:rsid w:val="00CE777F"/>
    <w:rsid w:val="00CF0366"/>
    <w:rsid w:val="00DA72DA"/>
    <w:rsid w:val="00DE58B4"/>
    <w:rsid w:val="00E16C77"/>
    <w:rsid w:val="00E57907"/>
    <w:rsid w:val="00FB6567"/>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7F2BA"/>
  <w15:chartTrackingRefBased/>
  <w15:docId w15:val="{69EE205E-A2D9-45D3-B9C6-346E89285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E68A4"/>
    <w:pPr>
      <w:spacing w:after="120" w:line="264" w:lineRule="auto"/>
    </w:pPr>
    <w:rPr>
      <w:rFonts w:eastAsiaTheme="minorEastAsia"/>
      <w:kern w:val="0"/>
      <w:sz w:val="20"/>
      <w:szCs w:val="20"/>
      <w14:ligatures w14:val="none"/>
    </w:rPr>
  </w:style>
  <w:style w:type="paragraph" w:styleId="Titolo1">
    <w:name w:val="heading 1"/>
    <w:basedOn w:val="Normale"/>
    <w:next w:val="Normale"/>
    <w:link w:val="Titolo1Carattere"/>
    <w:uiPriority w:val="9"/>
    <w:qFormat/>
    <w:rsid w:val="008E2C2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8E2C2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8E2C2D"/>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8E2C2D"/>
    <w:pPr>
      <w:keepNext/>
      <w:keepLines/>
      <w:spacing w:before="80" w:after="40" w:line="259" w:lineRule="auto"/>
      <w:outlineLvl w:val="3"/>
    </w:pPr>
    <w:rPr>
      <w:rFonts w:eastAsiaTheme="majorEastAsia" w:cstheme="majorBidi"/>
      <w:i/>
      <w:iCs/>
      <w:color w:val="2F5496" w:themeColor="accent1" w:themeShade="BF"/>
      <w:kern w:val="2"/>
      <w:sz w:val="22"/>
      <w:szCs w:val="22"/>
      <w14:ligatures w14:val="standardContextual"/>
    </w:rPr>
  </w:style>
  <w:style w:type="paragraph" w:styleId="Titolo5">
    <w:name w:val="heading 5"/>
    <w:basedOn w:val="Normale"/>
    <w:next w:val="Normale"/>
    <w:link w:val="Titolo5Carattere"/>
    <w:uiPriority w:val="9"/>
    <w:semiHidden/>
    <w:unhideWhenUsed/>
    <w:qFormat/>
    <w:rsid w:val="008E2C2D"/>
    <w:pPr>
      <w:keepNext/>
      <w:keepLines/>
      <w:spacing w:before="80" w:after="40" w:line="259" w:lineRule="auto"/>
      <w:outlineLvl w:val="4"/>
    </w:pPr>
    <w:rPr>
      <w:rFonts w:eastAsiaTheme="majorEastAsia" w:cstheme="majorBidi"/>
      <w:color w:val="2F5496" w:themeColor="accent1" w:themeShade="BF"/>
      <w:kern w:val="2"/>
      <w:sz w:val="22"/>
      <w:szCs w:val="22"/>
      <w14:ligatures w14:val="standardContextual"/>
    </w:rPr>
  </w:style>
  <w:style w:type="paragraph" w:styleId="Titolo6">
    <w:name w:val="heading 6"/>
    <w:basedOn w:val="Normale"/>
    <w:next w:val="Normale"/>
    <w:link w:val="Titolo6Carattere"/>
    <w:uiPriority w:val="9"/>
    <w:semiHidden/>
    <w:unhideWhenUsed/>
    <w:qFormat/>
    <w:rsid w:val="008E2C2D"/>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Titolo7">
    <w:name w:val="heading 7"/>
    <w:basedOn w:val="Normale"/>
    <w:next w:val="Normale"/>
    <w:link w:val="Titolo7Carattere"/>
    <w:uiPriority w:val="9"/>
    <w:semiHidden/>
    <w:unhideWhenUsed/>
    <w:qFormat/>
    <w:rsid w:val="008E2C2D"/>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Titolo8">
    <w:name w:val="heading 8"/>
    <w:basedOn w:val="Normale"/>
    <w:next w:val="Normale"/>
    <w:link w:val="Titolo8Carattere"/>
    <w:uiPriority w:val="9"/>
    <w:semiHidden/>
    <w:unhideWhenUsed/>
    <w:qFormat/>
    <w:rsid w:val="008E2C2D"/>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Titolo9">
    <w:name w:val="heading 9"/>
    <w:basedOn w:val="Normale"/>
    <w:next w:val="Normale"/>
    <w:link w:val="Titolo9Carattere"/>
    <w:uiPriority w:val="9"/>
    <w:semiHidden/>
    <w:unhideWhenUsed/>
    <w:qFormat/>
    <w:rsid w:val="008E2C2D"/>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E2C2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E2C2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E2C2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E2C2D"/>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E2C2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E2C2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E2C2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E2C2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E2C2D"/>
    <w:rPr>
      <w:rFonts w:eastAsiaTheme="majorEastAsia" w:cstheme="majorBidi"/>
      <w:color w:val="272727" w:themeColor="text1" w:themeTint="D8"/>
    </w:rPr>
  </w:style>
  <w:style w:type="paragraph" w:styleId="Titolo">
    <w:name w:val="Title"/>
    <w:basedOn w:val="Normale"/>
    <w:next w:val="Normale"/>
    <w:link w:val="TitoloCarattere"/>
    <w:uiPriority w:val="10"/>
    <w:qFormat/>
    <w:rsid w:val="008E2C2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8E2C2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E2C2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8E2C2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E2C2D"/>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CitazioneCarattere">
    <w:name w:val="Citazione Carattere"/>
    <w:basedOn w:val="Carpredefinitoparagrafo"/>
    <w:link w:val="Citazione"/>
    <w:uiPriority w:val="29"/>
    <w:rsid w:val="008E2C2D"/>
    <w:rPr>
      <w:i/>
      <w:iCs/>
      <w:color w:val="404040" w:themeColor="text1" w:themeTint="BF"/>
    </w:rPr>
  </w:style>
  <w:style w:type="paragraph" w:styleId="Paragrafoelenco">
    <w:name w:val="List Paragraph"/>
    <w:basedOn w:val="Normale"/>
    <w:uiPriority w:val="34"/>
    <w:qFormat/>
    <w:rsid w:val="008E2C2D"/>
    <w:pPr>
      <w:spacing w:after="160" w:line="259" w:lineRule="auto"/>
      <w:ind w:left="720"/>
      <w:contextualSpacing/>
    </w:pPr>
    <w:rPr>
      <w:rFonts w:eastAsiaTheme="minorHAnsi"/>
      <w:kern w:val="2"/>
      <w:sz w:val="22"/>
      <w:szCs w:val="22"/>
      <w14:ligatures w14:val="standardContextual"/>
    </w:rPr>
  </w:style>
  <w:style w:type="character" w:styleId="Enfasiintensa">
    <w:name w:val="Intense Emphasis"/>
    <w:basedOn w:val="Carpredefinitoparagrafo"/>
    <w:uiPriority w:val="21"/>
    <w:qFormat/>
    <w:rsid w:val="008E2C2D"/>
    <w:rPr>
      <w:i/>
      <w:iCs/>
      <w:color w:val="2F5496" w:themeColor="accent1" w:themeShade="BF"/>
    </w:rPr>
  </w:style>
  <w:style w:type="paragraph" w:styleId="Citazioneintensa">
    <w:name w:val="Intense Quote"/>
    <w:basedOn w:val="Normale"/>
    <w:next w:val="Normale"/>
    <w:link w:val="CitazioneintensaCarattere"/>
    <w:uiPriority w:val="30"/>
    <w:qFormat/>
    <w:rsid w:val="008E2C2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14:ligatures w14:val="standardContextual"/>
    </w:rPr>
  </w:style>
  <w:style w:type="character" w:customStyle="1" w:styleId="CitazioneintensaCarattere">
    <w:name w:val="Citazione intensa Carattere"/>
    <w:basedOn w:val="Carpredefinitoparagrafo"/>
    <w:link w:val="Citazioneintensa"/>
    <w:uiPriority w:val="30"/>
    <w:rsid w:val="008E2C2D"/>
    <w:rPr>
      <w:i/>
      <w:iCs/>
      <w:color w:val="2F5496" w:themeColor="accent1" w:themeShade="BF"/>
    </w:rPr>
  </w:style>
  <w:style w:type="character" w:styleId="Riferimentointenso">
    <w:name w:val="Intense Reference"/>
    <w:basedOn w:val="Carpredefinitoparagrafo"/>
    <w:uiPriority w:val="32"/>
    <w:qFormat/>
    <w:rsid w:val="008E2C2D"/>
    <w:rPr>
      <w:b/>
      <w:bCs/>
      <w:smallCaps/>
      <w:color w:val="2F5496" w:themeColor="accent1" w:themeShade="BF"/>
      <w:spacing w:val="5"/>
    </w:rPr>
  </w:style>
  <w:style w:type="paragraph" w:styleId="Testonotaapidipagina">
    <w:name w:val="footnote text"/>
    <w:basedOn w:val="Normale"/>
    <w:link w:val="TestonotaapidipaginaCarattere"/>
    <w:semiHidden/>
    <w:unhideWhenUsed/>
    <w:rsid w:val="00AE68A4"/>
    <w:pPr>
      <w:spacing w:after="0" w:line="240" w:lineRule="auto"/>
    </w:pPr>
    <w:rPr>
      <w:rFonts w:eastAsiaTheme="minorHAnsi"/>
    </w:rPr>
  </w:style>
  <w:style w:type="character" w:customStyle="1" w:styleId="TestonotaapidipaginaCarattere">
    <w:name w:val="Testo nota a piè di pagina Carattere"/>
    <w:basedOn w:val="Carpredefinitoparagrafo"/>
    <w:link w:val="Testonotaapidipagina"/>
    <w:semiHidden/>
    <w:rsid w:val="00AE68A4"/>
    <w:rPr>
      <w:kern w:val="0"/>
      <w:sz w:val="20"/>
      <w:szCs w:val="20"/>
      <w14:ligatures w14:val="none"/>
    </w:rPr>
  </w:style>
  <w:style w:type="character" w:styleId="Rimandonotaapidipagina">
    <w:name w:val="footnote reference"/>
    <w:basedOn w:val="Carpredefinitoparagrafo"/>
    <w:semiHidden/>
    <w:unhideWhenUsed/>
    <w:rsid w:val="00AE68A4"/>
    <w:rPr>
      <w:vertAlign w:val="superscript"/>
    </w:rPr>
  </w:style>
  <w:style w:type="character" w:styleId="Enfasigrassetto">
    <w:name w:val="Strong"/>
    <w:basedOn w:val="Carpredefinitoparagrafo"/>
    <w:uiPriority w:val="22"/>
    <w:qFormat/>
    <w:rsid w:val="00333618"/>
    <w:rPr>
      <w:b/>
      <w:bCs/>
    </w:rPr>
  </w:style>
  <w:style w:type="character" w:styleId="Enfasicorsivo">
    <w:name w:val="Emphasis"/>
    <w:basedOn w:val="Carpredefinitoparagrafo"/>
    <w:uiPriority w:val="20"/>
    <w:qFormat/>
    <w:rsid w:val="00DA72DA"/>
    <w:rPr>
      <w:i/>
      <w:iCs/>
    </w:rPr>
  </w:style>
  <w:style w:type="paragraph" w:styleId="NormaleWeb">
    <w:name w:val="Normal (Web)"/>
    <w:basedOn w:val="Normale"/>
    <w:uiPriority w:val="99"/>
    <w:unhideWhenUsed/>
    <w:rsid w:val="00DA72DA"/>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74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29</Pages>
  <Words>7014</Words>
  <Characters>39985</Characters>
  <Application>Microsoft Office Word</Application>
  <DocSecurity>0</DocSecurity>
  <Lines>333</Lines>
  <Paragraphs>93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Piero Stefani</dc:creator>
  <cp:keywords/>
  <dc:description/>
  <cp:lastModifiedBy>Piero Stefani</cp:lastModifiedBy>
  <cp:revision>9</cp:revision>
  <dcterms:created xsi:type="dcterms:W3CDTF">2025-03-18T06:22:00Z</dcterms:created>
  <dcterms:modified xsi:type="dcterms:W3CDTF">2025-03-18T10:04:00Z</dcterms:modified>
</cp:coreProperties>
</file>